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ייטב</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440666" w:rsidRDefault="006C35DD" w:rsidP="006C35DD">
                <w:pPr>
                  <w:suppressLineNumbers/>
                  <w:rPr>
                    <w:rFonts w:ascii="Arial" w:hAnsi="Arial"/>
                    <w:b/>
                    <w:bCs/>
                    <w:noProof w:val="0"/>
                    <w:sz w:val="26"/>
                    <w:szCs w:val="26"/>
                    <w:rtl/>
                  </w:rPr>
                </w:pPr>
                <w:r>
                  <w:rPr>
                    <w:rFonts w:ascii="Arial" w:hAnsi="Arial" w:hint="cs"/>
                    <w:b/>
                    <w:bCs/>
                    <w:noProof w:val="0"/>
                    <w:sz w:val="26"/>
                    <w:szCs w:val="26"/>
                    <w:rtl/>
                  </w:rPr>
                  <w:t>ה</w:t>
                </w:r>
                <w:r w:rsidR="00BF213F">
                  <w:rPr>
                    <w:rFonts w:ascii="Arial" w:hAnsi="Arial"/>
                    <w:b/>
                    <w:bCs/>
                    <w:noProof w:val="0"/>
                    <w:sz w:val="26"/>
                    <w:szCs w:val="26"/>
                    <w:rtl/>
                  </w:rPr>
                  <w:t>תובע</w:t>
                </w:r>
              </w:p>
            </w:sdtContent>
          </w:sdt>
        </w:tc>
        <w:tc>
          <w:tcPr>
            <w:tcW w:w="5571" w:type="dxa"/>
          </w:tcPr>
          <w:p w:rsidR="00FA7FD0" w:rsidRDefault="00FA7FD0" w:rsidP="00D44968">
            <w:pPr>
              <w:suppressLineNumbers/>
              <w:rPr>
                <w:rtl/>
              </w:rPr>
            </w:pPr>
          </w:p>
          <w:p w:rsidR="0094424E" w:rsidRDefault="00871264"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AC5857">
                  <w:rPr>
                    <w:rFonts w:ascii="Arial" w:hAnsi="Arial"/>
                    <w:b/>
                    <w:bCs/>
                    <w:noProof w:val="0"/>
                    <w:sz w:val="26"/>
                    <w:szCs w:val="26"/>
                    <w:rtl/>
                  </w:rPr>
                  <w:t>פלוני</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871264" w:rsidP="006C35DD">
            <w:pPr>
              <w:suppressLineNumbers/>
              <w:rPr>
                <w:rFonts w:ascii="Arial" w:hAnsi="Arial"/>
                <w:b/>
                <w:bCs/>
                <w:noProof w:val="0"/>
                <w:sz w:val="26"/>
                <w:szCs w:val="26"/>
              </w:rPr>
            </w:pPr>
            <w:sdt>
              <w:sdtPr>
                <w:rPr>
                  <w:rtl/>
                </w:rPr>
                <w:alias w:val="1184"/>
                <w:tag w:val="1184"/>
                <w:id w:val="-340621022"/>
                <w:text w:multiLine="1"/>
              </w:sdtPr>
              <w:sdtEndPr/>
              <w:sdtContent>
                <w:r w:rsidR="006C35DD">
                  <w:rPr>
                    <w:rFonts w:ascii="Arial" w:hAnsi="Arial" w:hint="cs"/>
                    <w:b/>
                    <w:bCs/>
                    <w:noProof w:val="0"/>
                    <w:sz w:val="26"/>
                    <w:szCs w:val="26"/>
                    <w:rtl/>
                  </w:rPr>
                  <w:t>ה</w:t>
                </w:r>
                <w:r w:rsidR="00AC5857">
                  <w:rPr>
                    <w:rFonts w:ascii="Arial" w:hAnsi="Arial"/>
                    <w:b/>
                    <w:bCs/>
                    <w:noProof w:val="0"/>
                    <w:sz w:val="26"/>
                    <w:szCs w:val="26"/>
                    <w:rtl/>
                  </w:rPr>
                  <w:t>נתבע</w:t>
                </w:r>
              </w:sdtContent>
            </w:sdt>
          </w:p>
        </w:tc>
        <w:tc>
          <w:tcPr>
            <w:tcW w:w="5571" w:type="dxa"/>
          </w:tcPr>
          <w:p w:rsidR="00CF6BB7" w:rsidRPr="00CD516B" w:rsidRDefault="00871264" w:rsidP="006C35DD">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6C35DD">
                  <w:rPr>
                    <w:rFonts w:ascii="Arial" w:hAnsi="Arial" w:hint="cs"/>
                    <w:b/>
                    <w:bCs/>
                    <w:noProof w:val="0"/>
                    <w:sz w:val="26"/>
                    <w:szCs w:val="26"/>
                    <w:rtl/>
                  </w:rPr>
                  <w:t>פלוני</w:t>
                </w:r>
              </w:sdtContent>
            </w:sdt>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B62AD7" w:rsidRPr="00B62AD7" w:rsidRDefault="00B62AD7" w:rsidP="00B66717">
            <w:pPr>
              <w:rPr>
                <w:rFonts w:ascii="David" w:eastAsia="David" w:hAnsi="David"/>
                <w:b/>
                <w:bCs/>
                <w:noProof w:val="0"/>
              </w:rPr>
            </w:pPr>
          </w:p>
        </w:tc>
        <w:tc>
          <w:tcPr>
            <w:tcW w:w="5571" w:type="dxa"/>
          </w:tcPr>
          <w:p w:rsidR="00B66717" w:rsidRPr="00B62AD7" w:rsidRDefault="00B66717" w:rsidP="00B66717">
            <w:pPr>
              <w:rPr>
                <w:b/>
                <w:bCs/>
                <w:sz w:val="26"/>
                <w:szCs w:val="26"/>
              </w:rPr>
            </w:pPr>
          </w:p>
        </w:tc>
      </w:tr>
      <w:tr w:rsidR="004C17EE" w:rsidTr="00D620FD">
        <w:trPr>
          <w:jc w:val="center"/>
        </w:trPr>
        <w:tc>
          <w:tcPr>
            <w:tcW w:w="8820" w:type="dxa"/>
            <w:gridSpan w:val="3"/>
          </w:tcPr>
          <w:p w:rsidR="00440666" w:rsidRDefault="00440666">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C35DD" w:rsidRDefault="006C35DD" w:rsidP="006C35DD">
      <w:pPr>
        <w:spacing w:line="360" w:lineRule="auto"/>
        <w:jc w:val="both"/>
        <w:rPr>
          <w:rFonts w:ascii="David" w:hAnsi="David"/>
          <w:b/>
          <w:bCs/>
          <w:noProof w:val="0"/>
          <w:sz w:val="26"/>
          <w:szCs w:val="26"/>
          <w:u w:val="single"/>
        </w:rPr>
      </w:pPr>
      <w:bookmarkStart w:id="0" w:name="NGCSBookmark"/>
      <w:bookmarkEnd w:id="0"/>
      <w:r>
        <w:rPr>
          <w:rFonts w:ascii="David" w:hAnsi="David" w:hint="cs"/>
          <w:b/>
          <w:bCs/>
          <w:sz w:val="26"/>
          <w:szCs w:val="26"/>
          <w:u w:val="single"/>
          <w:rtl/>
        </w:rPr>
        <w:t>מבוא</w:t>
      </w:r>
      <w:r>
        <w:rPr>
          <w:rFonts w:ascii="David" w:hAnsi="David"/>
          <w:b/>
          <w:bCs/>
          <w:sz w:val="26"/>
          <w:szCs w:val="26"/>
          <w:u w:val="single"/>
          <w:rtl/>
        </w:rPr>
        <w:t xml:space="preserve"> </w:t>
      </w:r>
    </w:p>
    <w:p w:rsidR="006C35DD" w:rsidRDefault="006C35DD" w:rsidP="006C35DD">
      <w:pPr>
        <w:pStyle w:val="ad"/>
        <w:numPr>
          <w:ilvl w:val="0"/>
          <w:numId w:val="1"/>
        </w:numPr>
        <w:spacing w:after="0" w:line="360" w:lineRule="auto"/>
        <w:jc w:val="both"/>
        <w:rPr>
          <w:rFonts w:ascii="David" w:eastAsia="Times New Roman" w:hAnsi="David" w:cs="David"/>
          <w:sz w:val="26"/>
          <w:szCs w:val="26"/>
          <w:rtl/>
        </w:rPr>
      </w:pPr>
      <w:r>
        <w:rPr>
          <w:rFonts w:ascii="David" w:eastAsia="Times New Roman" w:hAnsi="David" w:cs="David"/>
          <w:sz w:val="26"/>
          <w:szCs w:val="26"/>
          <w:rtl/>
        </w:rPr>
        <w:t xml:space="preserve">בקשתו של הנתבע </w:t>
      </w:r>
      <w:r>
        <w:rPr>
          <w:rFonts w:ascii="David" w:eastAsia="Times New Roman" w:hAnsi="David" w:cs="David"/>
          <w:b/>
          <w:bCs/>
          <w:sz w:val="26"/>
          <w:szCs w:val="26"/>
          <w:rtl/>
        </w:rPr>
        <w:t>" להאריך את המועד להגשת כתב הגנה, ולביטול פסק דין שניתן בהעדר הגנה"</w:t>
      </w:r>
      <w:r>
        <w:rPr>
          <w:rFonts w:ascii="David" w:eastAsia="Times New Roman" w:hAnsi="David" w:cs="David"/>
          <w:sz w:val="26"/>
          <w:szCs w:val="26"/>
          <w:rtl/>
        </w:rPr>
        <w:t xml:space="preserve">. </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 xml:space="preserve">פסק הדין נושא הבקשה ניתן בהעדר הגנה, בתביעה שהוגשה כתביעה נגררת להרשעה בפלילים, ובגדרו חויב הנתבע לפצות את התובע בסכום של 945,000 ₪ בצירוף הוצאות, בגין הנזקים שגרם לתובע בעבירות מין שביצע בו. </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בכתב האישום המתוקן שהוגש בתפ"ח 69430-07-20, אשר בעובדותיו הודה הנתבע במסגרת הסדר טיעון, פורט כי הנתבע נשוי לדודתו של התובע (יליד 2.6.1992) ושל אחיו. פורט כי במהלך השנים 2001 עד 2006, בעת שהתובע היה קטין (החל בגיל 9), ביצע הנתבע בתובע, במספר הזדמנויות, מעשים מגונים לשם גירוי, סיפוק, או ביזוי מיניים: ביניהם 5 מקרים של ביצוע מעשים מגונים בביתו של הנתבע, וכן מעשים מגונים שביצע הנתבע בתובע "</w:t>
      </w:r>
      <w:r>
        <w:rPr>
          <w:rFonts w:ascii="David" w:eastAsia="Times New Roman" w:hAnsi="David" w:cs="David"/>
          <w:b/>
          <w:bCs/>
          <w:sz w:val="26"/>
          <w:szCs w:val="26"/>
          <w:rtl/>
        </w:rPr>
        <w:t>במספר הזדמנויות</w:t>
      </w:r>
      <w:r>
        <w:rPr>
          <w:rFonts w:ascii="David" w:eastAsia="Times New Roman" w:hAnsi="David" w:cs="David"/>
          <w:sz w:val="26"/>
          <w:szCs w:val="26"/>
          <w:rtl/>
        </w:rPr>
        <w:t>" במהלך הרכיבה על אופנוע. בכתב האישום פורטו גם מעשים מגונים שביצע הנתבע באחיו של התובע, שאף הוא היה קטין בעת ביצוע המעשים.</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ביום 7.9.2020 הורשע הנתבע בעובדות כתב אישום, על יסוד הודאתו במסגרת הסדר טיעון (להלן: "</w:t>
      </w:r>
      <w:r>
        <w:rPr>
          <w:rFonts w:ascii="David" w:eastAsia="Times New Roman" w:hAnsi="David" w:cs="David"/>
          <w:b/>
          <w:bCs/>
          <w:sz w:val="26"/>
          <w:szCs w:val="26"/>
          <w:rtl/>
        </w:rPr>
        <w:t>הכרעת הדין</w:t>
      </w:r>
      <w:r>
        <w:rPr>
          <w:rFonts w:ascii="David" w:eastAsia="Times New Roman" w:hAnsi="David" w:cs="David"/>
          <w:sz w:val="26"/>
          <w:szCs w:val="26"/>
          <w:rtl/>
        </w:rPr>
        <w:t xml:space="preserve">"), בעבירות של מעשים מגונים בבן משפחה- ריבוי עבירות, לפי סעיף 351(ג)(2) בנסיבות סעיף 348(ב) + (ב)(1) בנסיבות 345(א)(1) </w:t>
      </w:r>
      <w:r>
        <w:rPr>
          <w:rFonts w:ascii="David" w:eastAsia="Times New Roman" w:hAnsi="David" w:cs="David"/>
          <w:b/>
          <w:bCs/>
          <w:sz w:val="26"/>
          <w:szCs w:val="26"/>
          <w:rtl/>
        </w:rPr>
        <w:t>בחוק העונשין, התשל"ז- 1977</w:t>
      </w:r>
      <w:r>
        <w:rPr>
          <w:rFonts w:ascii="David" w:eastAsia="Times New Roman" w:hAnsi="David" w:cs="David"/>
          <w:sz w:val="26"/>
          <w:szCs w:val="26"/>
          <w:rtl/>
        </w:rPr>
        <w:t xml:space="preserve"> (להלן: "</w:t>
      </w:r>
      <w:r>
        <w:rPr>
          <w:rFonts w:ascii="David" w:eastAsia="Times New Roman" w:hAnsi="David" w:cs="David"/>
          <w:b/>
          <w:bCs/>
          <w:sz w:val="26"/>
          <w:szCs w:val="26"/>
          <w:rtl/>
        </w:rPr>
        <w:t>חוק העונשין</w:t>
      </w:r>
      <w:r>
        <w:rPr>
          <w:rFonts w:ascii="David" w:eastAsia="Times New Roman" w:hAnsi="David" w:cs="David"/>
          <w:sz w:val="26"/>
          <w:szCs w:val="26"/>
          <w:rtl/>
        </w:rPr>
        <w:t xml:space="preserve">"). </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ביום 2.5.2022 נגזר דינו של הנתבע (להלן: "</w:t>
      </w:r>
      <w:r>
        <w:rPr>
          <w:rFonts w:ascii="David" w:eastAsia="Times New Roman" w:hAnsi="David" w:cs="David"/>
          <w:b/>
          <w:bCs/>
          <w:sz w:val="26"/>
          <w:szCs w:val="26"/>
          <w:rtl/>
        </w:rPr>
        <w:t>גזר הדין</w:t>
      </w:r>
      <w:r>
        <w:rPr>
          <w:rFonts w:ascii="David" w:eastAsia="Times New Roman" w:hAnsi="David" w:cs="David"/>
          <w:sz w:val="26"/>
          <w:szCs w:val="26"/>
          <w:rtl/>
        </w:rPr>
        <w:t xml:space="preserve">"), בין היתר, לריצוי עונש מאסר בפועל בן 24 חודשים, ופיצוי התובע בסכום של 35,000 ₪. הנתבע הגיש ערעור </w:t>
      </w:r>
      <w:r>
        <w:rPr>
          <w:rFonts w:ascii="David" w:eastAsia="Times New Roman" w:hAnsi="David" w:cs="David"/>
          <w:sz w:val="26"/>
          <w:szCs w:val="26"/>
          <w:rtl/>
        </w:rPr>
        <w:lastRenderedPageBreak/>
        <w:t>על גזר הדין לבית המשפט העליון</w:t>
      </w:r>
      <w:r>
        <w:rPr>
          <w:rFonts w:ascii="David" w:eastAsia="Times New Roman" w:hAnsi="David" w:cs="David" w:hint="cs"/>
          <w:sz w:val="26"/>
          <w:szCs w:val="26"/>
          <w:rtl/>
        </w:rPr>
        <w:t xml:space="preserve"> </w:t>
      </w:r>
      <w:r w:rsidR="002252BC">
        <w:rPr>
          <w:rFonts w:ascii="David" w:eastAsia="Times New Roman" w:hAnsi="David" w:cs="David" w:hint="cs"/>
          <w:sz w:val="26"/>
          <w:szCs w:val="26"/>
          <w:rtl/>
        </w:rPr>
        <w:t xml:space="preserve">(ע"פ 3692/22 </w:t>
      </w:r>
      <w:r w:rsidR="002252BC" w:rsidRPr="002252BC">
        <w:rPr>
          <w:rFonts w:ascii="David" w:eastAsia="Times New Roman" w:hAnsi="David" w:cs="David" w:hint="cs"/>
          <w:b/>
          <w:bCs/>
          <w:sz w:val="26"/>
          <w:szCs w:val="26"/>
          <w:rtl/>
        </w:rPr>
        <w:t>פלוני נ' מ"י</w:t>
      </w:r>
      <w:r w:rsidR="002252BC">
        <w:rPr>
          <w:rFonts w:ascii="David" w:eastAsia="Times New Roman" w:hAnsi="David" w:cs="David" w:hint="cs"/>
          <w:sz w:val="26"/>
          <w:szCs w:val="26"/>
          <w:rtl/>
        </w:rPr>
        <w:t>)</w:t>
      </w:r>
      <w:r>
        <w:rPr>
          <w:rFonts w:ascii="David" w:eastAsia="Times New Roman" w:hAnsi="David" w:cs="David"/>
          <w:sz w:val="26"/>
          <w:szCs w:val="26"/>
          <w:rtl/>
        </w:rPr>
        <w:t>, וביום 2.10.2022 נדחה ערעורו.</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 xml:space="preserve">ביום 8.1.2023 הגיש התובע תביעה אזרחית נגררת להרשעה בפלילים, לפי סעיף 77 בחוק </w:t>
      </w:r>
      <w:r>
        <w:rPr>
          <w:rFonts w:ascii="David" w:eastAsia="Times New Roman" w:hAnsi="David" w:cs="David"/>
          <w:b/>
          <w:bCs/>
          <w:sz w:val="26"/>
          <w:szCs w:val="26"/>
          <w:rtl/>
        </w:rPr>
        <w:t>בתי המשפט [נוסח משולב], התשמ"ד-1984</w:t>
      </w:r>
      <w:r>
        <w:rPr>
          <w:rFonts w:ascii="David" w:eastAsia="Times New Roman" w:hAnsi="David" w:cs="David"/>
          <w:sz w:val="26"/>
          <w:szCs w:val="26"/>
          <w:rtl/>
        </w:rPr>
        <w:t xml:space="preserve"> (להלן: "</w:t>
      </w:r>
      <w:r>
        <w:rPr>
          <w:rFonts w:ascii="David" w:eastAsia="Times New Roman" w:hAnsi="David" w:cs="David"/>
          <w:b/>
          <w:bCs/>
          <w:sz w:val="26"/>
          <w:szCs w:val="26"/>
          <w:rtl/>
        </w:rPr>
        <w:t>התביעה</w:t>
      </w:r>
      <w:r>
        <w:rPr>
          <w:rFonts w:ascii="David" w:eastAsia="Times New Roman" w:hAnsi="David" w:cs="David"/>
          <w:sz w:val="26"/>
          <w:szCs w:val="26"/>
          <w:rtl/>
        </w:rPr>
        <w:t xml:space="preserve">"), היא התביעה שלפני. בגדרה של התביעה עתר התובע לפיצוי בסך של 140,000 ₪ בגין כל תקיפה מינית שביצע בו הנתבע, על פי סעיף 6 </w:t>
      </w:r>
      <w:r>
        <w:rPr>
          <w:rFonts w:ascii="David" w:eastAsia="Times New Roman" w:hAnsi="David" w:cs="David"/>
          <w:b/>
          <w:bCs/>
          <w:sz w:val="26"/>
          <w:szCs w:val="26"/>
          <w:rtl/>
        </w:rPr>
        <w:t>בחוק למניעת הטרדה מינית, התשמ"ח- 1998</w:t>
      </w:r>
      <w:r>
        <w:rPr>
          <w:rFonts w:ascii="David" w:eastAsia="Times New Roman" w:hAnsi="David" w:cs="David"/>
          <w:sz w:val="26"/>
          <w:szCs w:val="26"/>
          <w:rtl/>
        </w:rPr>
        <w:t xml:space="preserve"> (להלן: </w:t>
      </w:r>
      <w:r>
        <w:rPr>
          <w:rFonts w:ascii="David" w:eastAsia="Times New Roman" w:hAnsi="David" w:cs="David"/>
          <w:b/>
          <w:bCs/>
          <w:sz w:val="26"/>
          <w:szCs w:val="26"/>
          <w:rtl/>
        </w:rPr>
        <w:t>"חוק למניעת הטרדה מינית"</w:t>
      </w:r>
      <w:r>
        <w:rPr>
          <w:rFonts w:ascii="David" w:eastAsia="Times New Roman" w:hAnsi="David" w:cs="David"/>
          <w:sz w:val="26"/>
          <w:szCs w:val="26"/>
          <w:rtl/>
        </w:rPr>
        <w:t xml:space="preserve">). בכתב התביעה בואר כי המועד האחרון להגשת התובענה, על פי תקנה 19 </w:t>
      </w:r>
      <w:r>
        <w:rPr>
          <w:rFonts w:ascii="David" w:eastAsia="Times New Roman" w:hAnsi="David" w:cs="David"/>
          <w:b/>
          <w:bCs/>
          <w:sz w:val="26"/>
          <w:szCs w:val="26"/>
          <w:rtl/>
        </w:rPr>
        <w:t>בתקנות סדר הדין האזרחי, התשע"ט- 2019 (להלן: "תקנות סדר הדין האזרחי")</w:t>
      </w:r>
      <w:r>
        <w:rPr>
          <w:rFonts w:ascii="David" w:eastAsia="Times New Roman" w:hAnsi="David" w:cs="David"/>
          <w:sz w:val="26"/>
          <w:szCs w:val="26"/>
          <w:rtl/>
        </w:rPr>
        <w:t xml:space="preserve"> הוא 9.1.2023.</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 xml:space="preserve">ביום 28.3.2023, הגיש התובע בקשה ראשונה למתן פסק דין במעמד צד אחד, לאחר שהנתבע לא הגיש כתב הגנה עד אותו המועד. לבקשה צורף אישור מסירה של כתב התביעה. בהחלטתי מאותו היום, צוין כי לא ברור מאישור המסירה האם הומצא כתב התביעה על ידי שירות בתי הסוהר לנתבע עצמו, והודגש כי יש לצרף לבקשה למתן פסק דין בהעדר הגנה אישור המעיד על כך שכתב התביעה הומצא באמצעות שב"ס לידי הנתבע. </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 xml:space="preserve">ביום 4.5.2023 הגיש שירות בתי הסוהר לתיק בית המשפט אישור על המצאת כתב התביעה לידי הנתבע ביום 3.5.2023. בהחלטתי מיום 4.5.2023, נקבע כי הנתבע רשאי להגיש כתב הגנה בתוך 60 ימים.  </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 xml:space="preserve">ביום 3.7.2023 הגיש התובע בקשה שניה למתן פסק דין בהעדר הגנה, לאחר שכתב ההגנה לא הוגש על ידי הנתבע. בבקשתו טען התובע כי כתב התביעה בצירוף הזמנה לדין הומצא לנתבע באמצעות שירות בתי הסוהר, וכי למרות שכתב התביעה הומצא לנתבע כדין, לא הוגש כתב ההגנה במועד. בית המשפט התבקש לפסוק פיצוי בסכום של 140,000 ₪ בגין כל אחד משבעת מעשי התקיפה המינית שבהם הורשע הנתבע, בניכוי סכום הפיצוי ששולם לתובע על פי גזר הדין.  </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ביום 7.7.2023 ניתן לבקשת התובע פסק דין בהעדר הגנה (להלן: "</w:t>
      </w:r>
      <w:r>
        <w:rPr>
          <w:rFonts w:ascii="David" w:eastAsia="Times New Roman" w:hAnsi="David" w:cs="David"/>
          <w:b/>
          <w:bCs/>
          <w:sz w:val="26"/>
          <w:szCs w:val="26"/>
          <w:rtl/>
        </w:rPr>
        <w:t>פסק הדין</w:t>
      </w:r>
      <w:r>
        <w:rPr>
          <w:rFonts w:ascii="David" w:eastAsia="Times New Roman" w:hAnsi="David" w:cs="David"/>
          <w:sz w:val="26"/>
          <w:szCs w:val="26"/>
          <w:rtl/>
        </w:rPr>
        <w:t>"), הוא פסק הדין שביטולו התבקש על ידי הנתבע</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ביום 28.8.2023, הוגשה לבית המשפט בקשת באי-כוח של הנתבע לעיין בתיק בית המשפט ו"</w:t>
      </w:r>
      <w:r>
        <w:rPr>
          <w:rFonts w:ascii="David" w:eastAsia="Times New Roman" w:hAnsi="David" w:cs="David"/>
          <w:b/>
          <w:bCs/>
          <w:sz w:val="26"/>
          <w:szCs w:val="26"/>
          <w:rtl/>
        </w:rPr>
        <w:t>בפסק הדין שניתן בעניינו של הנתבע</w:t>
      </w:r>
      <w:r>
        <w:rPr>
          <w:rFonts w:ascii="David" w:eastAsia="Times New Roman" w:hAnsi="David" w:cs="David"/>
          <w:sz w:val="26"/>
          <w:szCs w:val="26"/>
          <w:rtl/>
        </w:rPr>
        <w:t xml:space="preserve">". לבקשה צורף ייפוי כוח שעליו חתם הנתבע עוד ביום 8.5.2023, היינו 5 ימים לאחר ביצוע ההמצאה של כתב התביעה לנתבע על ידי שב"ס, ולמעלה משלושה חודשים לפני הגשת הבקשה לעיון לבית המשפט. ביום 7.9.2023, הוגש לתיק בית המשפט ייפוי כוח מטעם עו"ד נוסף. </w:t>
      </w:r>
      <w:r>
        <w:rPr>
          <w:rFonts w:ascii="David" w:eastAsia="Times New Roman" w:hAnsi="David" w:cs="David"/>
          <w:sz w:val="26"/>
          <w:szCs w:val="26"/>
          <w:rtl/>
        </w:rPr>
        <w:lastRenderedPageBreak/>
        <w:t xml:space="preserve">ביום 19.9.2023, הגיש בא-כוחו הראשון של התובע, אשר פנה לבית המשפט לראשונה ביום 7.7.2023, עדכון לביהמ"ש שלפיו הצטרף לייצוג בתיק. לבקשתו צירף את אותו ייפוי הכוח מיום 8.5.2023 שהוגש על ידו לתיק בית המשפט כבר ביום 7.7.2023. </w:t>
      </w:r>
    </w:p>
    <w:p w:rsidR="006C35DD" w:rsidRDefault="006C35DD" w:rsidP="006C35DD">
      <w:pPr>
        <w:pStyle w:val="ad"/>
        <w:numPr>
          <w:ilvl w:val="0"/>
          <w:numId w:val="1"/>
        </w:numPr>
        <w:spacing w:after="0" w:line="360" w:lineRule="auto"/>
        <w:jc w:val="both"/>
        <w:rPr>
          <w:rFonts w:ascii="David" w:eastAsia="Times New Roman" w:hAnsi="David" w:cs="David"/>
          <w:b/>
          <w:bCs/>
          <w:sz w:val="26"/>
          <w:szCs w:val="26"/>
        </w:rPr>
      </w:pPr>
      <w:r>
        <w:rPr>
          <w:rFonts w:ascii="David" w:eastAsia="Times New Roman" w:hAnsi="David" w:cs="David"/>
          <w:sz w:val="26"/>
          <w:szCs w:val="26"/>
          <w:rtl/>
        </w:rPr>
        <w:t xml:space="preserve">ביום 9.10.2023 הוגשה הבקשה שלפני, אשר כותרתה </w:t>
      </w:r>
      <w:r>
        <w:rPr>
          <w:rFonts w:ascii="David" w:eastAsia="Times New Roman" w:hAnsi="David" w:cs="David"/>
          <w:b/>
          <w:bCs/>
          <w:sz w:val="26"/>
          <w:szCs w:val="26"/>
          <w:rtl/>
        </w:rPr>
        <w:t>"בקשה להארכת מועד להגשת כתב הגנה וביטול פסק הדין שניתן בהעדר הגנה".</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לבקשה לא צורף תצהיר ובית המשפט התבקש לאפשר את הגשת הבקשה ללא תצהיר, נוכח העובדה שהנתבע אסור בבית האסורים והעת היא עת מלחמה, וזאת על מנת שלא ייווצר חלילה מצב שבו יאחר הנתבע את המועד להגיש את הבקשה. בד בבד, התחייב הנתבע להצהיר על הבקשה ברגע שבו יתאפשר הדבר. פורט בבקשה כי לבית המשפט מסורה הסמכות לקבל את הבקשה אף ללא תצהיר, בהתאם להוראת תקנה 176 (א) בתקנות סדר הדין האזרחי. לשם השלמת התמונה אציין כי מאז הגשת הבקשה לא צירף הנתבע תצהיר לשם תמיכה בה.</w:t>
      </w:r>
    </w:p>
    <w:p w:rsidR="006C35DD" w:rsidRDefault="006C35DD" w:rsidP="006C35DD">
      <w:pPr>
        <w:pStyle w:val="ad"/>
        <w:spacing w:after="0" w:line="360" w:lineRule="auto"/>
        <w:jc w:val="both"/>
        <w:rPr>
          <w:rFonts w:ascii="David" w:eastAsia="Times New Roman" w:hAnsi="David" w:cs="David"/>
          <w:sz w:val="26"/>
          <w:szCs w:val="26"/>
          <w:rtl/>
        </w:rPr>
      </w:pPr>
    </w:p>
    <w:p w:rsidR="006C35DD" w:rsidRDefault="006C35DD" w:rsidP="006C35DD">
      <w:pPr>
        <w:spacing w:line="360" w:lineRule="auto"/>
        <w:jc w:val="both"/>
        <w:rPr>
          <w:rFonts w:ascii="David" w:hAnsi="David"/>
          <w:b/>
          <w:bCs/>
          <w:sz w:val="26"/>
          <w:szCs w:val="26"/>
          <w:u w:val="single"/>
          <w:rtl/>
        </w:rPr>
      </w:pPr>
      <w:r>
        <w:rPr>
          <w:rFonts w:ascii="David" w:hAnsi="David"/>
          <w:b/>
          <w:bCs/>
          <w:sz w:val="26"/>
          <w:szCs w:val="26"/>
          <w:u w:val="single"/>
          <w:rtl/>
        </w:rPr>
        <w:t>טענותיו של הנתבע</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 xml:space="preserve">תמצית טענתו של הנתבע היא כי בעת שהומצא לו "כתב ההגנה" (כך במקור, צריך להיות "כתב התביעה"), היה נתון במאסר, ושרוי באבל על פטירת אביו. נטען כי בעודו ממתין לאישורים ליציאה לחופשה על מנת לעלות לקברו של אביו, חתם על אישור המסירה כלאחר יד, מבלי ששם לב למסמך שעליו חתם. נטען כי הסנגוריה הציבורית אשר הייתה אמורה לטפל בעניינו של התובע (כך במקור, צריך להיות "הנתבע")  לא עשתה דבר מיום שהופקד ייפוי הכוח מצדה בתיק בית המשפט </w:t>
      </w:r>
      <w:r>
        <w:rPr>
          <w:rFonts w:ascii="David" w:eastAsia="Times New Roman" w:hAnsi="David" w:cs="David"/>
          <w:b/>
          <w:bCs/>
          <w:sz w:val="26"/>
          <w:szCs w:val="26"/>
          <w:rtl/>
        </w:rPr>
        <w:t xml:space="preserve">לאחר מתן פסק הדין </w:t>
      </w:r>
      <w:r>
        <w:rPr>
          <w:rFonts w:ascii="David" w:eastAsia="Times New Roman" w:hAnsi="David" w:cs="David"/>
          <w:sz w:val="26"/>
          <w:szCs w:val="26"/>
          <w:rtl/>
        </w:rPr>
        <w:t>והנתבע נאלץ לחפש ייצוג פרטי ופנה למגיש הבקשה על מנת שייצגו.</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 xml:space="preserve">הנתבע טען כי סיכויי הגנתו גבוהים נוכח טענות הגנה העומדות לו וכי בקשתו נתמכת בשיקולי הצדק.  </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 xml:space="preserve">הנתבע הוסיף וטען כי לא ניתן היה להגיש את התובענה כתביעה נגררת להרשעה בפלילים, כפי שעשה התובע, שכן בשים לב למועד מתן גזר הדין הפך פסק הדין לחלוט ביום 22.6.2022, המועד האחרון להגשת תובענה נגררת להרשעה בפלילים היה ביום 15.11.2022, בעוד שהתובענה הוגשה כאמור אך ביום 8.1.2023. כפועל יוצא טען הנתבע כי יש לראות בתביעה כתביעה רגילה אשר בגדרה מוטל על התובע להוכיח את היקף הנזק. </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lastRenderedPageBreak/>
        <w:t>בין היתר, הפנה לכך שהתובע ביקש בכתב התביעה למנות מומחה ומכאן ניתן ללמוד כי לשיטתו של התובע עצמו מצריכה תביעתו הוכחת נזק. עוד טען כי בהתאם לסעיף 6 (א) בחוק למניעת הטרדה מינית, הפיצויים הנגזרים מן החוק כפופים להוראות פקודת הנזיקין, המעמידה לנתבע שלל הגנות, גם כאשר מדובר בתביעה ללא הוכחת נזק. הנתבע הוסיף והדגיש כי זכותו להוכיח מתן הקלה בפיצוי, במיוחד בשעה שסכום הפיצוי שנפסק הינו 945,000 ₪.</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 xml:space="preserve">בין היתר הפנה הנתבע לפסיקה שלפיה קיבל בית המשפט העליון בקשה לביטול פסק דין שהוגשה שנתיים לאחר שניתן, בשעה שסכום פסק הדין עמד על סך 600,000 ₪, וזאת כדי למנוע עיוות דין. הודגש כי בהתאם לפסק הדין האמור, גם כאשר זלזלה עורכת הדין בבית המשפט, הרי שמגיע לה יומה, ויש לאפשר לה לפתור את היקף הנזק.  כמו כן, הדגיש בהתאם לסעיף 42 ג' </w:t>
      </w:r>
      <w:r>
        <w:rPr>
          <w:rFonts w:ascii="David" w:eastAsia="Times New Roman" w:hAnsi="David" w:cs="David"/>
          <w:b/>
          <w:bCs/>
          <w:sz w:val="26"/>
          <w:szCs w:val="26"/>
          <w:rtl/>
        </w:rPr>
        <w:t>בפקודת הראיות</w:t>
      </w:r>
      <w:r>
        <w:rPr>
          <w:rFonts w:ascii="David" w:eastAsia="Times New Roman" w:hAnsi="David" w:cs="David"/>
          <w:sz w:val="26"/>
          <w:szCs w:val="26"/>
          <w:rtl/>
        </w:rPr>
        <w:t xml:space="preserve"> </w:t>
      </w:r>
      <w:r>
        <w:rPr>
          <w:rFonts w:ascii="David" w:hAnsi="David" w:cs="David"/>
          <w:b/>
          <w:bCs/>
          <w:sz w:val="26"/>
          <w:szCs w:val="26"/>
          <w:rtl/>
        </w:rPr>
        <w:t>[נוסח חדש], התשל"ב – 1972</w:t>
      </w:r>
      <w:r>
        <w:rPr>
          <w:rFonts w:ascii="David" w:hAnsi="David" w:cs="David"/>
          <w:sz w:val="26"/>
          <w:szCs w:val="26"/>
          <w:rtl/>
        </w:rPr>
        <w:t xml:space="preserve"> </w:t>
      </w:r>
      <w:r>
        <w:rPr>
          <w:rFonts w:ascii="David" w:eastAsia="Times New Roman" w:hAnsi="David" w:cs="David"/>
          <w:sz w:val="26"/>
          <w:szCs w:val="26"/>
          <w:rtl/>
        </w:rPr>
        <w:t xml:space="preserve"> (להלן: "</w:t>
      </w:r>
      <w:r>
        <w:rPr>
          <w:rFonts w:ascii="David" w:eastAsia="Times New Roman" w:hAnsi="David" w:cs="David"/>
          <w:b/>
          <w:bCs/>
          <w:sz w:val="26"/>
          <w:szCs w:val="26"/>
          <w:rtl/>
        </w:rPr>
        <w:t>פקודת הראיות</w:t>
      </w:r>
      <w:r>
        <w:rPr>
          <w:rFonts w:ascii="David" w:eastAsia="Times New Roman" w:hAnsi="David" w:cs="David"/>
          <w:sz w:val="26"/>
          <w:szCs w:val="26"/>
          <w:rtl/>
        </w:rPr>
        <w:t xml:space="preserve">"), רשאי הוא להגיש ראיות לסתור בכל הנוגע להיקף שיערוך הנזק כדי למנוע עיוות דין.  </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 xml:space="preserve">מטעמי זהירות טען הנתבע כי גם אם מדובר בתובענה נגררת להרשעה בפלילים, רשאי הוא לטעון טענות באשר להיקף הנזק בהתאם לסעיף 42 ג' בפקודת הראיות. </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 xml:space="preserve">הנתבע הוסיף וטען כי בכתב התביעה אמנם נטען לעילת הפרת חובה חקוקה, ואולם לא פורט מה היא החובה אשר הופרה על פי הנטען. </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 xml:space="preserve">על יסוד כל אלה, עתר הנתבע לקבל את בקשת הארכה שהגיש, לו לבטל את פסק-הדין שניתן במעמד צד אחד ולאפשר לו להגיש כתב הגנה.     </w:t>
      </w:r>
    </w:p>
    <w:p w:rsidR="006C35DD" w:rsidRDefault="006C35DD" w:rsidP="006C35DD">
      <w:pPr>
        <w:spacing w:line="360" w:lineRule="auto"/>
        <w:jc w:val="both"/>
        <w:rPr>
          <w:rFonts w:ascii="David" w:hAnsi="David"/>
          <w:b/>
          <w:bCs/>
          <w:sz w:val="26"/>
          <w:szCs w:val="26"/>
          <w:u w:val="single"/>
        </w:rPr>
      </w:pPr>
    </w:p>
    <w:p w:rsidR="006C35DD" w:rsidRDefault="006C35DD" w:rsidP="006C35DD">
      <w:pPr>
        <w:spacing w:line="360" w:lineRule="auto"/>
        <w:jc w:val="both"/>
        <w:rPr>
          <w:rFonts w:ascii="David" w:hAnsi="David"/>
          <w:b/>
          <w:bCs/>
          <w:sz w:val="26"/>
          <w:szCs w:val="26"/>
          <w:u w:val="single"/>
          <w:rtl/>
        </w:rPr>
      </w:pPr>
      <w:r>
        <w:rPr>
          <w:rFonts w:ascii="David" w:hAnsi="David"/>
          <w:b/>
          <w:bCs/>
          <w:sz w:val="26"/>
          <w:szCs w:val="26"/>
          <w:u w:val="single"/>
          <w:rtl/>
        </w:rPr>
        <w:t>טענות התובע</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 xml:space="preserve">התובע טען מנגד כי בהתאם להוראת בית המשפט, בוצעה ההמצאה לנתבע באמצעות שב"ס פעמיים. נטען כי לאחר הגשת אישור ההמצאה לנתבע באמצעות שב"ס, ניתנה ביום 4.5.2023 החלטת בית המשפט שלפיה יוגש כתב ההגנה בתוך 60 ימים. ביום 8.5.2023, ארבעה ימים לאחר מתן ההחלטה, חמישה חודשים עובר להגשת הבקשה לביטול פסק הדין,  וחודשיים לפני מתן פסק הדין במעמד צד אחד, מינה הנתבע את באי כוחו וזאת בניגוד לאמור בתצהירו. לתגובתו צירף התובע את ייפוי הכוח שהוגש לתיק. עוד נטען כי בנוסף למינוי באי כוחו הנוכחיים, פנה הנתבע לתובע באמצעות רבנים ועורכי דין אחרים במטרה להגיע לפשרה, ועל כן נגועה הבקשה בחוסר תום לב, אם לא בהטעיה של ממש. </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lastRenderedPageBreak/>
        <w:t xml:space="preserve">התובע טען כי בקשתו של הנתבע נשענת על רחמי בית המשפט בשל פטירתו של אביו בתאריך בלתי ידוע, ואולם הבקשה מתמוטטת הן עובדתית והן בשל חוסר תום הלב בטיעוניה. התובע טען כי מדובר בניסיון פסול של הנתבע "לפתוח" את הרשעתו בביצוע המעשים שביצע ושבהם הורשע וכי הדבר מעיד כי עדיין אינו נוטל אחריות על מעשיו ומנסה להמשיך ולייסר את התובע ברשעות.  </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נטען כי לא קיימת לנתבע, אשר הורשע בשורה של מעשי מין, הגנה כלשהי, וכי לא מתקיימים התנאים לביטול פסק הדין מטעמי צדק.</w:t>
      </w:r>
    </w:p>
    <w:p w:rsidR="006C35DD" w:rsidRDefault="006C35DD" w:rsidP="006C35DD">
      <w:pPr>
        <w:spacing w:line="360" w:lineRule="auto"/>
        <w:jc w:val="both"/>
        <w:rPr>
          <w:rFonts w:ascii="David" w:hAnsi="David"/>
          <w:b/>
          <w:bCs/>
          <w:sz w:val="26"/>
          <w:szCs w:val="26"/>
          <w:u w:val="single"/>
        </w:rPr>
      </w:pPr>
    </w:p>
    <w:p w:rsidR="006C35DD" w:rsidRDefault="006C35DD" w:rsidP="006C35DD">
      <w:pPr>
        <w:spacing w:line="360" w:lineRule="auto"/>
        <w:jc w:val="both"/>
        <w:rPr>
          <w:rFonts w:ascii="David" w:hAnsi="David"/>
          <w:b/>
          <w:bCs/>
          <w:sz w:val="26"/>
          <w:szCs w:val="26"/>
          <w:u w:val="single"/>
          <w:rtl/>
        </w:rPr>
      </w:pPr>
      <w:r>
        <w:rPr>
          <w:rFonts w:ascii="David" w:hAnsi="David"/>
          <w:b/>
          <w:bCs/>
          <w:sz w:val="26"/>
          <w:szCs w:val="26"/>
          <w:u w:val="single"/>
          <w:rtl/>
        </w:rPr>
        <w:t>תגובת הנתבע</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 xml:space="preserve">בתגובת הנתבע נטען כי יש לדחות את תגובתו של התובע על הסף, מהטעם שהבקשה למתן פסק דין בהעדר הגנה הוגשה ללא תצהיר ואסמכתאות, אף שסכום התביעה קרוב למיליון ₪. נטען כי ככל שהיו פניות שונות אל התובע בניסיונות להגיע לפשרה, הרי שאסור היה  לתובע להגיש בקשה למתן פסק דין בהעדר הגנה במהלך מו"מ בין הצדדים. הנתבע הדגיש כי יש להעניק לכל בעל דין את יומו בבית המשפט במיוחד כאשר התקבל פסק דין בהעדר הגנה בעודו מצוי בבית האסורים וכי יש לשקול את הנסיבות המיוחדות של היותו אסיר. </w:t>
      </w:r>
    </w:p>
    <w:p w:rsidR="006C35DD" w:rsidRDefault="006C35DD" w:rsidP="006C35DD">
      <w:pPr>
        <w:pStyle w:val="ad"/>
        <w:spacing w:after="0" w:line="360" w:lineRule="auto"/>
        <w:jc w:val="both"/>
        <w:rPr>
          <w:rFonts w:ascii="David" w:eastAsia="Times New Roman" w:hAnsi="David" w:cs="David"/>
          <w:sz w:val="26"/>
          <w:szCs w:val="26"/>
        </w:rPr>
      </w:pPr>
    </w:p>
    <w:p w:rsidR="006C35DD" w:rsidRDefault="006C35DD" w:rsidP="006C35DD">
      <w:pPr>
        <w:spacing w:line="360" w:lineRule="auto"/>
        <w:jc w:val="both"/>
        <w:rPr>
          <w:rFonts w:ascii="David" w:hAnsi="David"/>
          <w:b/>
          <w:bCs/>
          <w:sz w:val="26"/>
          <w:szCs w:val="26"/>
          <w:u w:val="single"/>
        </w:rPr>
      </w:pPr>
      <w:r>
        <w:rPr>
          <w:rFonts w:ascii="David" w:hAnsi="David"/>
          <w:b/>
          <w:bCs/>
          <w:sz w:val="26"/>
          <w:szCs w:val="26"/>
          <w:u w:val="single"/>
          <w:rtl/>
        </w:rPr>
        <w:t>דיון והכרעה</w:t>
      </w:r>
    </w:p>
    <w:p w:rsidR="006C35DD" w:rsidRDefault="006C35DD" w:rsidP="006C35DD">
      <w:pPr>
        <w:spacing w:line="360" w:lineRule="auto"/>
        <w:jc w:val="both"/>
        <w:rPr>
          <w:rFonts w:ascii="David" w:hAnsi="David"/>
          <w:b/>
          <w:bCs/>
          <w:sz w:val="26"/>
          <w:szCs w:val="26"/>
          <w:u w:val="single"/>
          <w:rtl/>
        </w:rPr>
      </w:pPr>
      <w:r>
        <w:rPr>
          <w:rFonts w:ascii="David" w:hAnsi="David"/>
          <w:b/>
          <w:bCs/>
          <w:sz w:val="26"/>
          <w:szCs w:val="26"/>
          <w:u w:val="single"/>
          <w:rtl/>
        </w:rPr>
        <w:t>תביעה נגררת להרשעה בפלילים</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 xml:space="preserve">נסיר תחילה מהדרך את הטענה שלפיה לא ניתן היה להגיש את התובענה כתביעה נגררת להרשעה בפלילים. </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גזר הדין בענייננו ניתן אמנם ביום 2.5.2022, ואולם הנתבע הגיש ערעור על גזר הדין, ועל כן הפך פסק הדין לחלוט במועד דחיית הערעור על ידי בית המשפט העליון, ביום 2.10.2022. בהתחשב בפגרת חג הסוכות, הסתיים פרק הזמן בן 90 הימים להגשת תובענה נגררת להרשעה בפלילים ביום 9.1.2023, ומשהוגשה התובענה ביום 8.1.2023, לא הייתה כל מניעה להגישה כתביעה נגררת להרשעה בפלילים.</w:t>
      </w:r>
    </w:p>
    <w:p w:rsidR="006C35DD" w:rsidRDefault="006C35DD" w:rsidP="006C35DD">
      <w:pPr>
        <w:pStyle w:val="ad"/>
        <w:numPr>
          <w:ilvl w:val="0"/>
          <w:numId w:val="1"/>
        </w:numPr>
        <w:spacing w:after="0" w:line="360" w:lineRule="auto"/>
        <w:jc w:val="both"/>
        <w:rPr>
          <w:rFonts w:ascii="David" w:hAnsi="David" w:cs="David"/>
          <w:b/>
          <w:bCs/>
          <w:sz w:val="26"/>
        </w:rPr>
      </w:pPr>
      <w:r>
        <w:rPr>
          <w:rFonts w:ascii="David" w:eastAsia="Times New Roman" w:hAnsi="David" w:cs="David"/>
          <w:sz w:val="26"/>
          <w:szCs w:val="26"/>
          <w:rtl/>
        </w:rPr>
        <w:t xml:space="preserve">מעבר לדרוש אזכיר כי סעיף 42ד' בפקודת הראיות </w:t>
      </w:r>
      <w:r>
        <w:rPr>
          <w:rFonts w:ascii="David" w:hAnsi="David" w:cs="David"/>
          <w:sz w:val="26"/>
          <w:szCs w:val="26"/>
          <w:rtl/>
        </w:rPr>
        <w:t xml:space="preserve">קובע כי בדיון בתביעה אזרחית נגררת לפלילים, תוקפם של הממצאים והמסקנות שנקבעו בפסק הדין הפלילי יהיה של ראיה חלוטה, אשר איננה ניתנת לסתירה. </w:t>
      </w:r>
    </w:p>
    <w:p w:rsidR="006C35DD" w:rsidRDefault="006C35DD" w:rsidP="006C35DD">
      <w:pPr>
        <w:numPr>
          <w:ilvl w:val="0"/>
          <w:numId w:val="1"/>
        </w:numPr>
        <w:spacing w:after="160" w:line="360" w:lineRule="auto"/>
        <w:contextualSpacing/>
        <w:jc w:val="both"/>
        <w:rPr>
          <w:rFonts w:ascii="David" w:hAnsi="David"/>
          <w:sz w:val="26"/>
          <w:szCs w:val="26"/>
        </w:rPr>
      </w:pPr>
      <w:r>
        <w:rPr>
          <w:rFonts w:ascii="David" w:hAnsi="David"/>
          <w:sz w:val="26"/>
          <w:szCs w:val="26"/>
          <w:rtl/>
        </w:rPr>
        <w:lastRenderedPageBreak/>
        <w:t xml:space="preserve">כב' השופט ח' מלצר (כתוארו אז) עמד בע"א 8189/09 </w:t>
      </w:r>
      <w:r>
        <w:rPr>
          <w:rFonts w:ascii="David" w:hAnsi="David"/>
          <w:b/>
          <w:bCs/>
          <w:sz w:val="26"/>
          <w:szCs w:val="26"/>
          <w:rtl/>
        </w:rPr>
        <w:t>פלוני נ' פלונית ואח'</w:t>
      </w:r>
      <w:r>
        <w:rPr>
          <w:rFonts w:ascii="David" w:hAnsi="David"/>
          <w:sz w:val="26"/>
          <w:szCs w:val="26"/>
          <w:rtl/>
        </w:rPr>
        <w:t xml:space="preserve"> </w:t>
      </w:r>
      <w:r>
        <w:rPr>
          <w:rFonts w:ascii="David" w:hAnsi="David"/>
          <w:rtl/>
        </w:rPr>
        <w:t xml:space="preserve">[ </w:t>
      </w:r>
      <w:r>
        <w:rPr>
          <w:rFonts w:ascii="David" w:hAnsi="David"/>
          <w:sz w:val="26"/>
          <w:szCs w:val="26"/>
          <w:rtl/>
        </w:rPr>
        <w:t>(מיום 20.9.2015)(להלן- "</w:t>
      </w:r>
      <w:r>
        <w:rPr>
          <w:rFonts w:ascii="David" w:hAnsi="David"/>
          <w:b/>
          <w:bCs/>
          <w:sz w:val="26"/>
          <w:szCs w:val="26"/>
          <w:rtl/>
        </w:rPr>
        <w:t>פרשת פלוני</w:t>
      </w:r>
      <w:r>
        <w:rPr>
          <w:rFonts w:ascii="David" w:hAnsi="David"/>
          <w:sz w:val="26"/>
          <w:szCs w:val="26"/>
          <w:rtl/>
        </w:rPr>
        <w:t>") על אופייה הייחודי של התביעה האזרחית הנגררת להרשעה בפלילים, וציין כדלקמן-</w:t>
      </w:r>
    </w:p>
    <w:p w:rsidR="006C35DD" w:rsidRDefault="006C35DD" w:rsidP="006C35DD">
      <w:pPr>
        <w:spacing w:line="360" w:lineRule="auto"/>
        <w:ind w:left="1440" w:right="284"/>
        <w:contextualSpacing/>
        <w:jc w:val="both"/>
        <w:rPr>
          <w:rFonts w:ascii="David" w:hAnsi="David"/>
          <w:b/>
          <w:bCs/>
          <w:sz w:val="26"/>
          <w:szCs w:val="26"/>
        </w:rPr>
      </w:pPr>
      <w:r>
        <w:rPr>
          <w:rFonts w:ascii="David" w:hAnsi="David"/>
          <w:sz w:val="26"/>
          <w:szCs w:val="26"/>
          <w:rtl/>
        </w:rPr>
        <w:t>"</w:t>
      </w:r>
      <w:r>
        <w:rPr>
          <w:rFonts w:ascii="David" w:hAnsi="David"/>
          <w:b/>
          <w:bCs/>
          <w:sz w:val="26"/>
          <w:szCs w:val="26"/>
          <w:rtl/>
        </w:rPr>
        <w:t xml:space="preserve">סעיף 77 לחוק בתי המשפט הנ"ל, שכותרתו: "סמכות אזרחית נגררת לפלילית", בצירוף תקנה 17 הנ"ל לתקנות סדר הדין האזרחי, יוצרים מסגרת דיונית מיוחדת לניהול תביעה אזרחית הנגררת להרשעה, שמטרתה העיקרית הינה מניעת כפילות הליכים וחיסכון בזמן שיפוטי... </w:t>
      </w:r>
    </w:p>
    <w:p w:rsidR="006C35DD" w:rsidRDefault="006C35DD" w:rsidP="006C35DD">
      <w:pPr>
        <w:spacing w:line="360" w:lineRule="auto"/>
        <w:ind w:left="1440" w:right="284"/>
        <w:contextualSpacing/>
        <w:jc w:val="both"/>
        <w:rPr>
          <w:rStyle w:val="default"/>
        </w:rPr>
      </w:pPr>
      <w:r>
        <w:rPr>
          <w:rFonts w:ascii="David" w:hAnsi="David"/>
          <w:b/>
          <w:bCs/>
          <w:sz w:val="26"/>
          <w:szCs w:val="26"/>
          <w:rtl/>
        </w:rPr>
        <w:t>סעיף 42ד לפקודת הראיות משלים את סעיף 77 לחוק בתי המשפט וקובע כי בדיון בתביעה אזרחית נגררת לפלילית כזו: "</w:t>
      </w:r>
      <w:r>
        <w:rPr>
          <w:rStyle w:val="default"/>
          <w:rFonts w:ascii="David" w:hAnsi="David"/>
          <w:b/>
          <w:bCs/>
          <w:sz w:val="26"/>
          <w:szCs w:val="26"/>
          <w:rtl/>
        </w:rPr>
        <w:t xml:space="preserve">יראו את הממצאים והמסקנות שנקבעו במשפט הפלילי כאילו נקבעו במשפט אזרחי" (ההדגשה שלי – ח"מ). ההוראה האמורה מקנה, איפוא, לממצאים ולמסקנות שנקבעו בפסק הדין הפלילי תוקף של ראיה חלוטה, אשר ככלל איננה ניתנת לסתירה. הוראה זו רחבה יותר ומובחנת, למשל, ממה שעולה מסעיפים 42א- 42ג לפקודת הראיות (שאליהם התייחסו הצדדים בטיעוניהם), המורים רק כי הממצאים והמסקנות שבהכרעת דין מרשיעה (אך לא בגזר הדין) מהווים "ראיה לכאורה" בתביעה האזרחית, אשר לגביהם רשאים: המורשע, חליפו, או מי שחב בחובו הפסוק, להביא ראיה לסתור, "ברשות בית המשפט, מטעמים שיירשמו וכדי למנוע עיוות דין" ... </w:t>
      </w:r>
    </w:p>
    <w:p w:rsidR="006C35DD" w:rsidRDefault="006C35DD" w:rsidP="006C35DD">
      <w:pPr>
        <w:spacing w:line="360" w:lineRule="auto"/>
        <w:ind w:left="1440" w:right="284"/>
        <w:contextualSpacing/>
        <w:jc w:val="both"/>
        <w:rPr>
          <w:rStyle w:val="default"/>
          <w:rFonts w:ascii="David" w:hAnsi="David"/>
          <w:b/>
          <w:bCs/>
          <w:sz w:val="26"/>
          <w:szCs w:val="26"/>
          <w:rtl/>
        </w:rPr>
      </w:pPr>
      <w:r>
        <w:rPr>
          <w:rStyle w:val="default"/>
          <w:rFonts w:ascii="David" w:hAnsi="David"/>
          <w:b/>
          <w:bCs/>
          <w:sz w:val="26"/>
          <w:szCs w:val="26"/>
          <w:rtl/>
        </w:rPr>
        <w:t xml:space="preserve">משמעות הדבר היא, למצער, כי בתובענה אזרחית נגררת להרשעה בפלילים רואים בנתבע כמי שאחריותו למעשים שבגינם הוגשה נגדו התובענה – הוכחה במאזן ההסתברויות הנדרש במשפט אזרחי נוכח הממצאים שנקבעו במשפט הפלילי. </w:t>
      </w:r>
    </w:p>
    <w:p w:rsidR="006C35DD" w:rsidRDefault="006C35DD" w:rsidP="006C35DD">
      <w:pPr>
        <w:spacing w:line="360" w:lineRule="auto"/>
        <w:ind w:left="1440" w:right="284"/>
        <w:contextualSpacing/>
        <w:jc w:val="both"/>
        <w:rPr>
          <w:rStyle w:val="default"/>
          <w:rFonts w:ascii="David" w:hAnsi="David"/>
          <w:b/>
          <w:bCs/>
          <w:sz w:val="26"/>
          <w:szCs w:val="26"/>
          <w:rtl/>
        </w:rPr>
      </w:pPr>
      <w:r>
        <w:rPr>
          <w:rFonts w:ascii="David" w:hAnsi="David"/>
          <w:b/>
          <w:bCs/>
          <w:sz w:val="26"/>
          <w:szCs w:val="26"/>
          <w:rtl/>
        </w:rPr>
        <w:t>לצד האמור לעיל וכפי שציין בית המשפט המחוזי הנכבד, מבחינת סדרי הדין ודרכי ההוכחה של הנזק – תביעה נגררת נדונה כתובענה אזרחית רגילה (ראו: תקנה 17(ג) לתקנות סדר הדין האזרחי. משמעות קביעה זו הינה כי התובענה הנגררת כפופה לכללים החלים ברגיל על תובענות נזיקיות.</w:t>
      </w:r>
    </w:p>
    <w:p w:rsidR="006C35DD" w:rsidRDefault="006C35DD" w:rsidP="006C35DD">
      <w:pPr>
        <w:spacing w:line="360" w:lineRule="auto"/>
        <w:jc w:val="both"/>
        <w:rPr>
          <w:rtl/>
        </w:rPr>
      </w:pP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lastRenderedPageBreak/>
        <w:t>מדובר אפוא בתביעה נגררת להרשעה בפלילים, אחריותו של הנתבע מוכחת, וכל שנותר לדון בו במסגרת התביעה שלפני הוא הנזק והפיצוי.</w:t>
      </w:r>
    </w:p>
    <w:p w:rsidR="006C35DD" w:rsidRDefault="006C35DD" w:rsidP="006C35DD">
      <w:pPr>
        <w:spacing w:line="360" w:lineRule="auto"/>
        <w:jc w:val="both"/>
        <w:rPr>
          <w:rFonts w:ascii="David" w:hAnsi="David"/>
          <w:b/>
          <w:bCs/>
          <w:sz w:val="26"/>
          <w:szCs w:val="26"/>
          <w:u w:val="single"/>
        </w:rPr>
      </w:pPr>
    </w:p>
    <w:p w:rsidR="006C35DD" w:rsidRDefault="006C35DD" w:rsidP="006C35DD">
      <w:pPr>
        <w:spacing w:line="360" w:lineRule="auto"/>
        <w:jc w:val="both"/>
        <w:rPr>
          <w:rFonts w:ascii="David" w:hAnsi="David"/>
          <w:b/>
          <w:bCs/>
          <w:sz w:val="26"/>
          <w:szCs w:val="26"/>
          <w:u w:val="single"/>
          <w:rtl/>
        </w:rPr>
      </w:pPr>
      <w:r>
        <w:rPr>
          <w:rFonts w:ascii="David" w:hAnsi="David"/>
          <w:b/>
          <w:bCs/>
          <w:sz w:val="26"/>
          <w:szCs w:val="26"/>
          <w:u w:val="single"/>
          <w:rtl/>
        </w:rPr>
        <w:t>ביטול פסק דין שניתן בהעדר הגנה</w:t>
      </w:r>
    </w:p>
    <w:p w:rsidR="006C35DD" w:rsidRDefault="006C35DD" w:rsidP="006C35DD">
      <w:pPr>
        <w:pStyle w:val="ad"/>
        <w:numPr>
          <w:ilvl w:val="0"/>
          <w:numId w:val="1"/>
        </w:numPr>
        <w:spacing w:after="0" w:line="360" w:lineRule="auto"/>
        <w:jc w:val="both"/>
        <w:rPr>
          <w:rFonts w:ascii="David" w:eastAsia="Times New Roman" w:hAnsi="David" w:cs="David"/>
          <w:sz w:val="26"/>
          <w:szCs w:val="26"/>
        </w:rPr>
      </w:pPr>
      <w:r>
        <w:rPr>
          <w:rFonts w:ascii="David" w:eastAsia="Times New Roman" w:hAnsi="David" w:cs="David"/>
          <w:sz w:val="26"/>
          <w:szCs w:val="26"/>
          <w:rtl/>
        </w:rPr>
        <w:t xml:space="preserve">סמכות בית המשפט להורות על ביטול פסק דין שניתן במעמד צד אחד, קבועה כיום בתקנה 131 </w:t>
      </w:r>
      <w:r>
        <w:rPr>
          <w:rFonts w:ascii="David" w:eastAsia="Times New Roman" w:hAnsi="David" w:cs="David"/>
          <w:b/>
          <w:bCs/>
          <w:sz w:val="26"/>
          <w:szCs w:val="26"/>
          <w:rtl/>
        </w:rPr>
        <w:t xml:space="preserve">בתקנות סדר הדין האזרחי, </w:t>
      </w:r>
      <w:r>
        <w:rPr>
          <w:rFonts w:ascii="David" w:eastAsia="Times New Roman" w:hAnsi="David" w:cs="David"/>
          <w:sz w:val="26"/>
          <w:szCs w:val="26"/>
          <w:rtl/>
        </w:rPr>
        <w:t xml:space="preserve">(בעבר תקנה 201 </w:t>
      </w:r>
      <w:r>
        <w:rPr>
          <w:rFonts w:ascii="David" w:eastAsia="Times New Roman" w:hAnsi="David" w:cs="David"/>
          <w:b/>
          <w:bCs/>
          <w:sz w:val="26"/>
          <w:szCs w:val="26"/>
          <w:rtl/>
        </w:rPr>
        <w:t>בתקנות סדר הדין האזרחי, התשמ"ד -1984</w:t>
      </w:r>
      <w:r>
        <w:rPr>
          <w:rFonts w:ascii="David" w:eastAsia="Times New Roman" w:hAnsi="David" w:cs="David"/>
          <w:sz w:val="26"/>
          <w:szCs w:val="26"/>
          <w:rtl/>
        </w:rPr>
        <w:t>, (להלן: "</w:t>
      </w:r>
      <w:r>
        <w:rPr>
          <w:rFonts w:ascii="David" w:eastAsia="Times New Roman" w:hAnsi="David" w:cs="David"/>
          <w:b/>
          <w:bCs/>
          <w:sz w:val="26"/>
          <w:szCs w:val="26"/>
          <w:rtl/>
        </w:rPr>
        <w:t>התקנות הישנות</w:t>
      </w:r>
      <w:r>
        <w:rPr>
          <w:rFonts w:ascii="David" w:eastAsia="Times New Roman" w:hAnsi="David" w:cs="David"/>
          <w:sz w:val="26"/>
          <w:szCs w:val="26"/>
          <w:rtl/>
        </w:rPr>
        <w:t xml:space="preserve">"), הקובעת כי בית המשפט מוסמך לבטל את פסק הדין האמור </w:t>
      </w:r>
      <w:r>
        <w:rPr>
          <w:rFonts w:ascii="David" w:hAnsi="David" w:cs="David"/>
          <w:b/>
          <w:sz w:val="26"/>
          <w:szCs w:val="26"/>
          <w:rtl/>
        </w:rPr>
        <w:t>"</w:t>
      </w:r>
      <w:r>
        <w:rPr>
          <w:rFonts w:ascii="David" w:hAnsi="David" w:cs="David"/>
          <w:bCs/>
          <w:sz w:val="26"/>
          <w:szCs w:val="26"/>
          <w:rtl/>
        </w:rPr>
        <w:t>בתנאים שייראו לו</w:t>
      </w:r>
      <w:r>
        <w:rPr>
          <w:rFonts w:ascii="David" w:hAnsi="David" w:cs="David"/>
          <w:b/>
          <w:sz w:val="26"/>
          <w:szCs w:val="26"/>
          <w:rtl/>
        </w:rPr>
        <w:t>"</w:t>
      </w:r>
      <w:r>
        <w:rPr>
          <w:rFonts w:ascii="David" w:hAnsi="David" w:cs="David"/>
          <w:spacing w:val="10"/>
          <w:sz w:val="26"/>
          <w:szCs w:val="26"/>
          <w:rtl/>
        </w:rPr>
        <w:t>.</w:t>
      </w:r>
    </w:p>
    <w:p w:rsidR="006C35DD" w:rsidRDefault="006C35DD" w:rsidP="006C35DD">
      <w:pPr>
        <w:pStyle w:val="ad"/>
        <w:numPr>
          <w:ilvl w:val="0"/>
          <w:numId w:val="1"/>
        </w:numPr>
        <w:spacing w:after="0" w:line="360" w:lineRule="auto"/>
        <w:jc w:val="both"/>
        <w:rPr>
          <w:rFonts w:ascii="David" w:hAnsi="David" w:cs="David"/>
          <w:b/>
          <w:bCs/>
          <w:sz w:val="26"/>
          <w:szCs w:val="26"/>
        </w:rPr>
      </w:pPr>
      <w:r>
        <w:rPr>
          <w:rFonts w:ascii="David" w:eastAsia="Times New Roman" w:hAnsi="David" w:cs="David"/>
          <w:sz w:val="26"/>
          <w:szCs w:val="26"/>
          <w:rtl/>
        </w:rPr>
        <w:t xml:space="preserve">בהתאם לתקנה האמורה יש להגיש בקשה לביטול </w:t>
      </w:r>
      <w:r>
        <w:rPr>
          <w:rFonts w:ascii="David" w:hAnsi="David" w:cs="David"/>
          <w:sz w:val="26"/>
          <w:szCs w:val="26"/>
          <w:rtl/>
        </w:rPr>
        <w:t>פסק הדין תוך 30 ימים ממועד המצאת פסק הדין למבקש את ביטולו</w:t>
      </w:r>
      <w:r>
        <w:rPr>
          <w:rFonts w:ascii="David" w:eastAsia="Times New Roman" w:hAnsi="David" w:cs="David"/>
          <w:sz w:val="26"/>
          <w:szCs w:val="26"/>
          <w:rtl/>
        </w:rPr>
        <w:t xml:space="preserve">. לבית המשפט  מסורה הסמכות להאריך את המועד האמור, בהתאם לתקנה 176(ב) בתקנות סדר הדין האזרחי (תקנה 528 בתקנות הישנות), </w:t>
      </w:r>
      <w:r>
        <w:rPr>
          <w:rFonts w:ascii="David" w:hAnsi="David" w:cs="David"/>
          <w:sz w:val="26"/>
          <w:szCs w:val="26"/>
          <w:rtl/>
        </w:rPr>
        <w:t>וזאת "</w:t>
      </w:r>
      <w:r>
        <w:rPr>
          <w:rStyle w:val="default"/>
          <w:rFonts w:ascii="David" w:hAnsi="David" w:cs="David"/>
          <w:b/>
          <w:bCs/>
          <w:sz w:val="26"/>
          <w:szCs w:val="26"/>
          <w:rtl/>
        </w:rPr>
        <w:t>מטעמים מיוחדים שיירשמו</w:t>
      </w:r>
      <w:r>
        <w:rPr>
          <w:rStyle w:val="default"/>
          <w:rFonts w:ascii="David" w:hAnsi="David" w:cs="David"/>
          <w:sz w:val="26"/>
          <w:szCs w:val="26"/>
          <w:rtl/>
        </w:rPr>
        <w:t xml:space="preserve">". </w:t>
      </w:r>
      <w:r>
        <w:rPr>
          <w:rStyle w:val="default"/>
          <w:rFonts w:ascii="David" w:eastAsia="Times New Roman" w:hAnsi="David" w:cs="David"/>
          <w:sz w:val="26"/>
          <w:szCs w:val="26"/>
          <w:rtl/>
        </w:rPr>
        <w:t xml:space="preserve">הטעמים המיוחדים יבחנו, כפי שבואר בהלכה הפסוקה </w:t>
      </w:r>
      <w:r>
        <w:rPr>
          <w:rFonts w:ascii="David" w:hAnsi="David" w:cs="David"/>
          <w:sz w:val="26"/>
          <w:szCs w:val="26"/>
          <w:rtl/>
        </w:rPr>
        <w:t>"</w:t>
      </w:r>
      <w:r>
        <w:rPr>
          <w:rFonts w:ascii="David" w:hAnsi="David" w:cs="David"/>
          <w:bCs/>
          <w:sz w:val="26"/>
          <w:szCs w:val="26"/>
          <w:rtl/>
        </w:rPr>
        <w:t>בהתאם לנסיבותיו של כל מקרה ומקרה, על רקע הצורך לאזן בין מימושן של זכויות דיוניות לבין מחדלים דיוניים, תוך התייחסות, בין השאר לסיבה לאיחור בהגשת הערעור, למשכו, למהות ההליך, לסיכוייו הלכאוריים ולמידת ההסתמכות של בעל דין שכנגד על סופיות הדיון</w:t>
      </w:r>
      <w:r>
        <w:rPr>
          <w:rFonts w:ascii="David" w:hAnsi="David" w:cs="David"/>
          <w:sz w:val="26"/>
          <w:szCs w:val="26"/>
          <w:rtl/>
        </w:rPr>
        <w:t xml:space="preserve">" (ראו למשל רע"א 7940/23 </w:t>
      </w:r>
      <w:r>
        <w:rPr>
          <w:rFonts w:ascii="David" w:hAnsi="David" w:cs="David"/>
          <w:b/>
          <w:bCs/>
          <w:sz w:val="26"/>
          <w:szCs w:val="26"/>
          <w:rtl/>
        </w:rPr>
        <w:t>שי שלמה כהן נ' יעקב (קובי) מימון ואח',</w:t>
      </w:r>
      <w:r>
        <w:rPr>
          <w:rFonts w:ascii="David" w:hAnsi="David" w:cs="David"/>
          <w:sz w:val="26"/>
          <w:szCs w:val="26"/>
          <w:rtl/>
        </w:rPr>
        <w:t xml:space="preserve"> פסקה 12 (מיום 9.11.2023); רע"א 2295/21 </w:t>
      </w:r>
      <w:r>
        <w:rPr>
          <w:rFonts w:ascii="David" w:hAnsi="David" w:cs="David"/>
          <w:bCs/>
          <w:sz w:val="26"/>
          <w:szCs w:val="26"/>
          <w:rtl/>
        </w:rPr>
        <w:t>סליטה נ' גל מהנדסים אי.אן.ג'י בע"מ,</w:t>
      </w:r>
      <w:r>
        <w:rPr>
          <w:rFonts w:ascii="David" w:hAnsi="David" w:cs="David"/>
          <w:sz w:val="26"/>
          <w:szCs w:val="26"/>
          <w:rtl/>
        </w:rPr>
        <w:t xml:space="preserve"> פסקה 12 (מיום 5.10.2021)).</w:t>
      </w:r>
      <w:r>
        <w:rPr>
          <w:rFonts w:ascii="David" w:eastAsia="Times New Roman" w:hAnsi="David" w:cs="David"/>
          <w:sz w:val="26"/>
          <w:szCs w:val="26"/>
          <w:rtl/>
        </w:rPr>
        <w:t xml:space="preserve"> </w:t>
      </w:r>
    </w:p>
    <w:p w:rsidR="006C35DD" w:rsidRDefault="006C35DD" w:rsidP="006C35DD">
      <w:pPr>
        <w:pStyle w:val="ad"/>
        <w:numPr>
          <w:ilvl w:val="0"/>
          <w:numId w:val="1"/>
        </w:numPr>
        <w:spacing w:after="0" w:line="360" w:lineRule="auto"/>
        <w:jc w:val="both"/>
        <w:rPr>
          <w:rFonts w:ascii="David" w:hAnsi="David" w:cs="David"/>
          <w:sz w:val="26"/>
          <w:szCs w:val="26"/>
        </w:rPr>
      </w:pPr>
      <w:r>
        <w:rPr>
          <w:rFonts w:ascii="David" w:eastAsia="Times New Roman" w:hAnsi="David" w:cs="David"/>
          <w:sz w:val="26"/>
          <w:szCs w:val="26"/>
          <w:rtl/>
        </w:rPr>
        <w:t xml:space="preserve">בענייננו לא ביאר הנתבע מהו המועד שבו הומצא לו פסק הדין. מהבקשה של באי-כוחו לעיין בתיק בית המשפט ו"בפסק הדין שניתן בעניינו של הנתבע", אשר הוגשה כאמור ביום 28.8.2023, </w:t>
      </w:r>
      <w:r>
        <w:rPr>
          <w:rFonts w:ascii="David" w:hAnsi="David" w:cs="David"/>
          <w:sz w:val="26"/>
          <w:szCs w:val="26"/>
          <w:rtl/>
        </w:rPr>
        <w:t>ניתן ללמוד כי</w:t>
      </w:r>
      <w:r>
        <w:rPr>
          <w:rFonts w:ascii="David" w:eastAsia="Times New Roman" w:hAnsi="David" w:cs="David"/>
          <w:sz w:val="26"/>
          <w:szCs w:val="26"/>
          <w:rtl/>
        </w:rPr>
        <w:t xml:space="preserve"> במועד האמור היה ידוע לנתבע על מתן פסק הדין.</w:t>
      </w:r>
      <w:r>
        <w:rPr>
          <w:rFonts w:ascii="David" w:hAnsi="David" w:cs="David"/>
          <w:sz w:val="26"/>
          <w:szCs w:val="26"/>
          <w:rtl/>
        </w:rPr>
        <w:t xml:space="preserve"> הבקשה שלפני הוגשה כאמור ביום 9.10.2023, ולא פורט בה מדוע</w:t>
      </w:r>
      <w:r>
        <w:rPr>
          <w:rFonts w:ascii="David" w:hAnsi="David" w:cs="David"/>
          <w:b/>
          <w:bCs/>
          <w:sz w:val="26"/>
          <w:szCs w:val="26"/>
          <w:rtl/>
        </w:rPr>
        <w:t xml:space="preserve"> </w:t>
      </w:r>
      <w:r>
        <w:rPr>
          <w:rFonts w:ascii="David" w:hAnsi="David" w:cs="David"/>
          <w:sz w:val="26"/>
          <w:szCs w:val="26"/>
          <w:rtl/>
        </w:rPr>
        <w:t>מדובר בבקשה שהוגשה במסגרת המועד הקבוע לכך בתקנות, אף לא הוגשה בקשה מפורשת להארכת המועד. יחד עם זאת, סביר להניח כי לאור הארכות המועד בשל הפגרות ובשל מצב החירום הוגשה הבקשה במועד.</w:t>
      </w:r>
    </w:p>
    <w:p w:rsidR="006C35DD" w:rsidRDefault="006C35DD" w:rsidP="006C35DD">
      <w:pPr>
        <w:pStyle w:val="ad"/>
        <w:numPr>
          <w:ilvl w:val="0"/>
          <w:numId w:val="1"/>
        </w:numPr>
        <w:spacing w:after="0" w:line="360" w:lineRule="auto"/>
        <w:jc w:val="both"/>
        <w:rPr>
          <w:rFonts w:ascii="David" w:hAnsi="David" w:cs="David"/>
          <w:sz w:val="26"/>
          <w:szCs w:val="26"/>
        </w:rPr>
      </w:pPr>
      <w:r>
        <w:rPr>
          <w:rFonts w:ascii="David" w:hAnsi="David" w:cs="David"/>
          <w:sz w:val="26"/>
          <w:szCs w:val="26"/>
          <w:rtl/>
        </w:rPr>
        <w:t xml:space="preserve">בהלכה הפסוקה הוכרו שתי עילות לביטול פסק דין שניתן במעמד צד אחד: </w:t>
      </w:r>
      <w:r>
        <w:rPr>
          <w:rFonts w:ascii="David" w:hAnsi="David" w:cs="David"/>
          <w:b/>
          <w:bCs/>
          <w:sz w:val="26"/>
          <w:szCs w:val="26"/>
          <w:rtl/>
        </w:rPr>
        <w:t>האחת,</w:t>
      </w:r>
      <w:r>
        <w:rPr>
          <w:rFonts w:ascii="David" w:hAnsi="David" w:cs="David"/>
          <w:sz w:val="26"/>
          <w:szCs w:val="26"/>
          <w:rtl/>
        </w:rPr>
        <w:t xml:space="preserve"> ביטול מחובת הצדק, בשל פגם היורד לשורש ההליך; </w:t>
      </w:r>
      <w:r>
        <w:rPr>
          <w:rFonts w:ascii="David" w:hAnsi="David" w:cs="David"/>
          <w:b/>
          <w:bCs/>
          <w:sz w:val="26"/>
          <w:szCs w:val="26"/>
          <w:rtl/>
        </w:rPr>
        <w:t>השנייה,</w:t>
      </w:r>
      <w:r>
        <w:rPr>
          <w:rFonts w:ascii="David" w:hAnsi="David" w:cs="David"/>
          <w:sz w:val="26"/>
          <w:szCs w:val="26"/>
          <w:rtl/>
        </w:rPr>
        <w:t xml:space="preserve"> ביטול לפי שיקול דעתו של בית המשפט. </w:t>
      </w:r>
    </w:p>
    <w:p w:rsidR="006C35DD" w:rsidRDefault="006C35DD" w:rsidP="006C35DD">
      <w:pPr>
        <w:pStyle w:val="ad"/>
        <w:numPr>
          <w:ilvl w:val="0"/>
          <w:numId w:val="1"/>
        </w:numPr>
        <w:spacing w:after="0" w:line="360" w:lineRule="auto"/>
        <w:jc w:val="both"/>
        <w:rPr>
          <w:rFonts w:ascii="David" w:hAnsi="David" w:cs="David"/>
          <w:sz w:val="26"/>
          <w:szCs w:val="26"/>
        </w:rPr>
      </w:pPr>
      <w:r>
        <w:rPr>
          <w:rFonts w:ascii="David" w:hAnsi="David" w:cs="David"/>
          <w:sz w:val="26"/>
          <w:szCs w:val="26"/>
          <w:rtl/>
        </w:rPr>
        <w:lastRenderedPageBreak/>
        <w:t>ביטול מחובת הצדק, בשל פגם היורד לשורש ההליך, נדון על פי רוב בנסיבות שבהן לא הומצא כתב התביעה לנתבע כדין. בענייננו לא קיימת מחלוקת באשר לקיומה של המצאה כדין, כך שעילת ביטול זו אינה רלוונטית לענייננו.</w:t>
      </w:r>
    </w:p>
    <w:p w:rsidR="006C35DD" w:rsidRDefault="006C35DD" w:rsidP="006C35DD">
      <w:pPr>
        <w:pStyle w:val="ad"/>
        <w:numPr>
          <w:ilvl w:val="0"/>
          <w:numId w:val="1"/>
        </w:numPr>
        <w:spacing w:after="0" w:line="360" w:lineRule="auto"/>
        <w:jc w:val="both"/>
        <w:rPr>
          <w:rFonts w:ascii="David" w:hAnsi="David" w:cs="David"/>
          <w:sz w:val="26"/>
          <w:szCs w:val="26"/>
        </w:rPr>
      </w:pPr>
      <w:r>
        <w:rPr>
          <w:rFonts w:ascii="David" w:hAnsi="David" w:cs="David"/>
          <w:sz w:val="26"/>
          <w:szCs w:val="26"/>
          <w:rtl/>
        </w:rPr>
        <w:t xml:space="preserve">אשר לעילת הביטול השנייה, </w:t>
      </w:r>
      <w:r>
        <w:rPr>
          <w:rFonts w:ascii="David" w:hAnsi="David" w:cs="David"/>
          <w:b/>
          <w:bCs/>
          <w:sz w:val="26"/>
          <w:szCs w:val="26"/>
          <w:rtl/>
        </w:rPr>
        <w:t>שיקולי בית המשפט</w:t>
      </w:r>
      <w:r>
        <w:rPr>
          <w:rFonts w:ascii="David" w:hAnsi="David" w:cs="David"/>
          <w:sz w:val="26"/>
          <w:szCs w:val="26"/>
          <w:rtl/>
        </w:rPr>
        <w:t xml:space="preserve">, נקבע בהלכה הפסוקה (ראו למשל רע"א 1788/20 </w:t>
      </w:r>
      <w:r>
        <w:rPr>
          <w:rFonts w:ascii="David" w:hAnsi="David" w:cs="David"/>
          <w:b/>
          <w:bCs/>
          <w:sz w:val="26"/>
          <w:szCs w:val="26"/>
          <w:rtl/>
        </w:rPr>
        <w:t>אברג'ל נ' אלקטרז איילנד בע"מ</w:t>
      </w:r>
      <w:r>
        <w:rPr>
          <w:rFonts w:ascii="David" w:hAnsi="David" w:cs="David"/>
          <w:sz w:val="26"/>
          <w:szCs w:val="26"/>
          <w:rtl/>
        </w:rPr>
        <w:t xml:space="preserve"> (מיום 05.11.20)) כי-</w:t>
      </w:r>
    </w:p>
    <w:p w:rsidR="006C35DD" w:rsidRDefault="006C35DD" w:rsidP="006C35DD">
      <w:pPr>
        <w:pStyle w:val="ad"/>
        <w:spacing w:after="0" w:line="360" w:lineRule="auto"/>
        <w:ind w:left="1440" w:right="284"/>
        <w:jc w:val="both"/>
        <w:rPr>
          <w:rFonts w:ascii="David" w:hAnsi="David" w:cs="David"/>
          <w:bCs/>
          <w:sz w:val="26"/>
          <w:szCs w:val="26"/>
        </w:rPr>
      </w:pPr>
      <w:r>
        <w:rPr>
          <w:rFonts w:ascii="David" w:hAnsi="David" w:cs="David"/>
          <w:bCs/>
          <w:sz w:val="26"/>
          <w:szCs w:val="26"/>
          <w:rtl/>
        </w:rPr>
        <w:t>" אמות המידה לבחינת בקשה לביטול פסק דין שניתן במעמד צד אחד מכוח שיקול דעתו של בית המשפט נשענות על שני שיקולים: האחד, סיבת אי-הגשת כתב ההגנה, או אי-התייצבותו של בעל הדין לדיון; השני, סיכויי הצלחתו של בעל הדין אם יבוטל פסק הדין שניתן [...] בדרך כלל יש לייחס חשיבות רבה יותר לשיקול השני".</w:t>
      </w:r>
    </w:p>
    <w:p w:rsidR="006C35DD" w:rsidRDefault="006C35DD" w:rsidP="006C35DD">
      <w:pPr>
        <w:pStyle w:val="ad"/>
        <w:numPr>
          <w:ilvl w:val="0"/>
          <w:numId w:val="1"/>
        </w:numPr>
        <w:spacing w:after="0" w:line="360" w:lineRule="auto"/>
        <w:jc w:val="both"/>
        <w:rPr>
          <w:rFonts w:ascii="David" w:hAnsi="David" w:cs="David"/>
          <w:sz w:val="26"/>
          <w:szCs w:val="26"/>
        </w:rPr>
      </w:pPr>
      <w:r>
        <w:rPr>
          <w:rFonts w:ascii="David" w:hAnsi="David" w:cs="David"/>
          <w:b/>
          <w:sz w:val="26"/>
          <w:szCs w:val="26"/>
          <w:rtl/>
        </w:rPr>
        <w:t xml:space="preserve"> </w:t>
      </w:r>
      <w:r>
        <w:rPr>
          <w:rFonts w:ascii="David" w:hAnsi="David" w:cs="David"/>
          <w:sz w:val="26"/>
          <w:szCs w:val="26"/>
          <w:rtl/>
        </w:rPr>
        <w:t xml:space="preserve">ככל שסיכויי הגנת הנתבע טובים, ייטה בית-המשפט לקבל את הבקשה חרף מחדליו, תוך פסיקת הוצאות מתאימות לטובת הצד שכנגד, וזאת בעיקר מהטעם שנוכח זכות הגישה לערכאות יש לבכר את בירור המחלוקת לגופה (ראו למשל רע"א 2406/23 </w:t>
      </w:r>
      <w:r>
        <w:rPr>
          <w:rFonts w:ascii="David" w:hAnsi="David" w:cs="David"/>
          <w:b/>
          <w:bCs/>
          <w:sz w:val="26"/>
          <w:szCs w:val="26"/>
          <w:rtl/>
        </w:rPr>
        <w:t xml:space="preserve">פלונית נ' פלוני </w:t>
      </w:r>
      <w:r>
        <w:rPr>
          <w:rFonts w:ascii="David" w:hAnsi="David" w:cs="David"/>
          <w:sz w:val="26"/>
          <w:szCs w:val="26"/>
          <w:rtl/>
        </w:rPr>
        <w:t xml:space="preserve">(מיום 22.06.2023)). </w:t>
      </w:r>
    </w:p>
    <w:p w:rsidR="006C35DD" w:rsidRDefault="006C35DD" w:rsidP="006C35DD">
      <w:pPr>
        <w:pStyle w:val="ad"/>
        <w:numPr>
          <w:ilvl w:val="0"/>
          <w:numId w:val="1"/>
        </w:numPr>
        <w:spacing w:after="0" w:line="360" w:lineRule="auto"/>
        <w:jc w:val="both"/>
        <w:rPr>
          <w:rFonts w:ascii="Times New Roman" w:hAnsi="Times New Roman" w:cs="David"/>
          <w:noProof/>
          <w:sz w:val="26"/>
          <w:szCs w:val="26"/>
        </w:rPr>
      </w:pPr>
      <w:r>
        <w:rPr>
          <w:rFonts w:ascii="David" w:hAnsi="David" w:cs="David"/>
          <w:sz w:val="26"/>
          <w:szCs w:val="26"/>
          <w:rtl/>
        </w:rPr>
        <w:t xml:space="preserve">אף שזכות הגישה לערכאות היא זכות יסוד, קובעות תקנות סדר הדין האזרחי כי ביטול פסק הדין בהעדר הגנה אינו אוטומטי, ועל כן, בגדר שיקוליו ישקול בית המשפט גם </w:t>
      </w:r>
      <w:r>
        <w:rPr>
          <w:rFonts w:ascii="Times New Roman" w:hAnsi="Times New Roman" w:cs="David"/>
          <w:noProof/>
          <w:sz w:val="26"/>
          <w:szCs w:val="26"/>
          <w:rtl/>
        </w:rPr>
        <w:t xml:space="preserve">את האינטרס הציבורי ויעדיפו על פני האינטרס האישי של בעל הדין, במיוחד לאחר תיקון תקנות סדר הדין האזרחי, המעניקות כיום משקל רב לאינטרס הציבורי ומתייחסות לזמן השיפוטי כמשאב ציבורי אשר יש לנצלו ביעילות. </w:t>
      </w:r>
    </w:p>
    <w:p w:rsidR="006C35DD" w:rsidRDefault="006C35DD" w:rsidP="006C35DD">
      <w:pPr>
        <w:pStyle w:val="ad"/>
        <w:numPr>
          <w:ilvl w:val="0"/>
          <w:numId w:val="1"/>
        </w:numPr>
        <w:spacing w:after="0" w:line="360" w:lineRule="auto"/>
        <w:jc w:val="both"/>
        <w:rPr>
          <w:rFonts w:ascii="Times New Roman" w:hAnsi="Times New Roman" w:cs="David"/>
          <w:noProof/>
          <w:sz w:val="26"/>
          <w:szCs w:val="26"/>
        </w:rPr>
      </w:pPr>
      <w:r>
        <w:rPr>
          <w:rFonts w:ascii="Times New Roman" w:hAnsi="Times New Roman" w:cs="David"/>
          <w:noProof/>
          <w:sz w:val="26"/>
          <w:szCs w:val="26"/>
          <w:rtl/>
        </w:rPr>
        <w:t xml:space="preserve">שיקול נוסף שיש להביאו בחשבון לעניין ביטול פסק דין שניתן בהעדר הגנה נובע מאופיה המיוחד של התביעה הנגררת להרשעה בפלילים. המחוקק קבע כאמור הסדר מיוחד לבירור נזקיו של המתלונן בהליך הפלילי, אשר נועד לאפשר את בירור נזקיו ולקבוע לו פיצוי בעדם בהליך יעיל ומזורז. לשם כך נקבע כאמור כי ממצאי פסק הדין הפלילי מחייבים בתביעה זו, ובמסגרת התביעה מתבררים הנזקים בלבד. הניזוק המתין בתביעתו עד שפסק הדין הפך לחלוט, וניתן לו פרק זמן מצומצם בן 90 ימים בלבד מיום שפסק הדין הפך לחלוט לשם הגשת התביעה הנגררת להרשעה בפלילים, ובכך לזכות בהליך בירור יעיל ומהיר של תביעתו. מטבע הדברים ניתנת לנתבע אפשרות להתגונן מפני התביעה, ואולם יש לבחון במקביל האם נמנע מלנצל את ההזדמנות שניתנה לו על מנת להאריך בהליך, ולדחות את בירור התביעה, בניגוד לתכלית ההליך המיוחד. </w:t>
      </w:r>
    </w:p>
    <w:p w:rsidR="006C35DD" w:rsidRDefault="006C35DD" w:rsidP="006C35DD">
      <w:pPr>
        <w:pStyle w:val="ad"/>
        <w:numPr>
          <w:ilvl w:val="0"/>
          <w:numId w:val="1"/>
        </w:numPr>
        <w:spacing w:after="0" w:line="360" w:lineRule="auto"/>
        <w:jc w:val="both"/>
        <w:rPr>
          <w:rFonts w:ascii="Times New Roman" w:hAnsi="Times New Roman" w:cs="David"/>
          <w:noProof/>
          <w:sz w:val="26"/>
          <w:szCs w:val="26"/>
        </w:rPr>
      </w:pPr>
      <w:r>
        <w:rPr>
          <w:rFonts w:ascii="Times New Roman" w:hAnsi="Times New Roman" w:cs="David"/>
          <w:noProof/>
          <w:sz w:val="26"/>
          <w:szCs w:val="26"/>
          <w:rtl/>
        </w:rPr>
        <w:lastRenderedPageBreak/>
        <w:t xml:space="preserve">באיזון בין השיקולים האמורים שפירטתי, ככל שלא מדובר בעיוות דין, ואין הצדקה של ממש להימנעות מהגשת כתב הגנה, יש לבכר את אינטרס הניזוק לבירור מהיר ויעיל של נזקיו, ואת האינטרס הציבורי המעוגן בתקנות סדר הדין האזרחי. </w:t>
      </w:r>
    </w:p>
    <w:p w:rsidR="006C35DD" w:rsidRDefault="006C35DD" w:rsidP="006C35DD">
      <w:pPr>
        <w:spacing w:line="360" w:lineRule="auto"/>
        <w:jc w:val="both"/>
        <w:rPr>
          <w:b/>
          <w:bCs/>
          <w:sz w:val="26"/>
          <w:szCs w:val="26"/>
          <w:u w:val="single"/>
        </w:rPr>
      </w:pPr>
    </w:p>
    <w:p w:rsidR="006C35DD" w:rsidRDefault="006C35DD" w:rsidP="006C35DD">
      <w:pPr>
        <w:spacing w:line="360" w:lineRule="auto"/>
        <w:jc w:val="both"/>
        <w:rPr>
          <w:b/>
          <w:bCs/>
          <w:sz w:val="26"/>
          <w:szCs w:val="26"/>
          <w:u w:val="single"/>
          <w:rtl/>
        </w:rPr>
      </w:pPr>
      <w:r>
        <w:rPr>
          <w:b/>
          <w:bCs/>
          <w:sz w:val="26"/>
          <w:szCs w:val="26"/>
          <w:u w:val="single"/>
          <w:rtl/>
        </w:rPr>
        <w:t>מן הכלל אל הפרט</w:t>
      </w:r>
    </w:p>
    <w:p w:rsidR="006C35DD" w:rsidRDefault="006C35DD" w:rsidP="006C35DD">
      <w:pPr>
        <w:pStyle w:val="ad"/>
        <w:numPr>
          <w:ilvl w:val="0"/>
          <w:numId w:val="1"/>
        </w:numPr>
        <w:spacing w:after="0" w:line="360" w:lineRule="auto"/>
        <w:jc w:val="both"/>
        <w:rPr>
          <w:rFonts w:ascii="Times New Roman" w:hAnsi="Times New Roman" w:cs="David"/>
          <w:noProof/>
          <w:sz w:val="26"/>
          <w:szCs w:val="26"/>
        </w:rPr>
      </w:pPr>
      <w:r>
        <w:rPr>
          <w:rFonts w:ascii="Times New Roman" w:hAnsi="Times New Roman" w:cs="David"/>
          <w:noProof/>
          <w:sz w:val="26"/>
          <w:szCs w:val="26"/>
          <w:rtl/>
        </w:rPr>
        <w:t xml:space="preserve">נקודת המוצא בענייננו היא סיכויי הגנתו של הנתבע, והאם נגרם לו עיוות דין בשל מתן פסק הדין בהעדר הגנה. </w:t>
      </w:r>
    </w:p>
    <w:p w:rsidR="006C35DD" w:rsidRDefault="006C35DD" w:rsidP="006C35DD">
      <w:pPr>
        <w:pStyle w:val="ad"/>
        <w:numPr>
          <w:ilvl w:val="0"/>
          <w:numId w:val="1"/>
        </w:numPr>
        <w:spacing w:after="0" w:line="360" w:lineRule="auto"/>
        <w:jc w:val="both"/>
        <w:rPr>
          <w:rFonts w:ascii="Times New Roman" w:hAnsi="Times New Roman" w:cs="David"/>
          <w:noProof/>
          <w:sz w:val="26"/>
          <w:szCs w:val="26"/>
        </w:rPr>
      </w:pPr>
      <w:r>
        <w:rPr>
          <w:rFonts w:ascii="Times New Roman" w:hAnsi="Times New Roman" w:cs="David"/>
          <w:noProof/>
          <w:sz w:val="26"/>
          <w:szCs w:val="26"/>
          <w:rtl/>
        </w:rPr>
        <w:t xml:space="preserve">התובע תבע כאמור פיצוי על פי חוק למניעת הטרדה מינית, לכל אחד מהמעשים המגונים שבהם הורשע הנתבע. </w:t>
      </w:r>
    </w:p>
    <w:p w:rsidR="006C35DD" w:rsidRDefault="006C35DD" w:rsidP="006C35DD">
      <w:pPr>
        <w:pStyle w:val="ad"/>
        <w:numPr>
          <w:ilvl w:val="0"/>
          <w:numId w:val="1"/>
        </w:numPr>
        <w:spacing w:after="0" w:line="360" w:lineRule="auto"/>
        <w:jc w:val="both"/>
        <w:rPr>
          <w:rFonts w:ascii="Times New Roman" w:hAnsi="Times New Roman" w:cs="David"/>
          <w:noProof/>
          <w:sz w:val="26"/>
          <w:szCs w:val="26"/>
        </w:rPr>
      </w:pPr>
      <w:r>
        <w:rPr>
          <w:rFonts w:ascii="Times New Roman" w:hAnsi="Times New Roman" w:cs="David"/>
          <w:noProof/>
          <w:sz w:val="26"/>
          <w:szCs w:val="26"/>
          <w:rtl/>
        </w:rPr>
        <w:t xml:space="preserve">מטרתו של החוק למניעת הטרדה מינית, כפי שבואר בסעיף 1, היא </w:t>
      </w:r>
      <w:r>
        <w:rPr>
          <w:rFonts w:ascii="David" w:eastAsia="Times New Roman" w:hAnsi="David" w:cs="David"/>
          <w:spacing w:val="10"/>
          <w:sz w:val="26"/>
          <w:szCs w:val="26"/>
          <w:rtl/>
        </w:rPr>
        <w:t>"</w:t>
      </w:r>
      <w:r>
        <w:rPr>
          <w:rFonts w:ascii="David" w:eastAsia="Times New Roman" w:hAnsi="David" w:cs="David"/>
          <w:b/>
          <w:bCs/>
          <w:spacing w:val="10"/>
          <w:sz w:val="26"/>
          <w:szCs w:val="26"/>
          <w:rtl/>
        </w:rPr>
        <w:t>לאסור הטרדה מינית כדי להגן על כבודו של אדם, על חירותו ועל פרטיותו, וכדי לקדם שוויון בין המינים"</w:t>
      </w:r>
      <w:r>
        <w:rPr>
          <w:rFonts w:ascii="David" w:eastAsia="Times New Roman" w:hAnsi="David" w:cs="David"/>
          <w:spacing w:val="10"/>
          <w:sz w:val="26"/>
          <w:szCs w:val="26"/>
          <w:rtl/>
        </w:rPr>
        <w:t xml:space="preserve">. על פי דברי ההסבר לחוק: </w:t>
      </w:r>
    </w:p>
    <w:p w:rsidR="006C35DD" w:rsidRDefault="006C35DD" w:rsidP="006C35DD">
      <w:pPr>
        <w:overflowPunct w:val="0"/>
        <w:autoSpaceDE w:val="0"/>
        <w:autoSpaceDN w:val="0"/>
        <w:adjustRightInd w:val="0"/>
        <w:ind w:left="1644" w:right="1276"/>
        <w:jc w:val="both"/>
        <w:textAlignment w:val="baseline"/>
        <w:rPr>
          <w:rFonts w:ascii="David" w:hAnsi="David"/>
          <w:b/>
          <w:bCs/>
          <w:noProof w:val="0"/>
          <w:spacing w:val="10"/>
          <w:sz w:val="26"/>
          <w:szCs w:val="26"/>
          <w:rtl/>
        </w:rPr>
      </w:pPr>
    </w:p>
    <w:p w:rsidR="006C35DD" w:rsidRDefault="006C35DD" w:rsidP="006C35DD">
      <w:pPr>
        <w:overflowPunct w:val="0"/>
        <w:autoSpaceDE w:val="0"/>
        <w:autoSpaceDN w:val="0"/>
        <w:adjustRightInd w:val="0"/>
        <w:ind w:left="1644" w:right="1276"/>
        <w:jc w:val="both"/>
        <w:textAlignment w:val="baseline"/>
        <w:rPr>
          <w:rFonts w:ascii="David" w:hAnsi="David"/>
          <w:spacing w:val="10"/>
          <w:sz w:val="26"/>
          <w:szCs w:val="26"/>
          <w:rtl/>
        </w:rPr>
      </w:pPr>
      <w:r>
        <w:rPr>
          <w:rFonts w:ascii="David" w:hAnsi="David"/>
          <w:b/>
          <w:bCs/>
          <w:spacing w:val="10"/>
          <w:sz w:val="26"/>
          <w:szCs w:val="26"/>
          <w:rtl/>
        </w:rPr>
        <w:t>"הטרדה מינית היא פגיעה בכבוד האדם, בחירותו, בפרטיותו ובזכותו לשוויון. היא פוגעת בכבודו העצמי ובכבודו החברתי של המוטרד. היא משפילה ומבזה את אנושיותו, בין השאר על ידי התייחסות אל האדם כאל אובייקט מיני לשימושו של המטריד. הטרדה מינית שוללת את האוטונומיה של המוטרד ואת שליטתו בגופו ומיניותו, פוגעת בזכותו להגדרה עצמית ופולשת לפרטיותו, וכן מפלה אותו לרעה לעומת אנשים אחרים..."</w:t>
      </w:r>
      <w:r>
        <w:rPr>
          <w:rFonts w:ascii="David" w:hAnsi="David"/>
          <w:spacing w:val="10"/>
          <w:sz w:val="26"/>
          <w:szCs w:val="26"/>
          <w:rtl/>
        </w:rPr>
        <w:t xml:space="preserve"> </w:t>
      </w:r>
    </w:p>
    <w:p w:rsidR="006C35DD" w:rsidRDefault="006C35DD" w:rsidP="006C35DD">
      <w:pPr>
        <w:tabs>
          <w:tab w:val="left" w:pos="800"/>
          <w:tab w:val="num" w:pos="907"/>
        </w:tabs>
        <w:overflowPunct w:val="0"/>
        <w:autoSpaceDE w:val="0"/>
        <w:autoSpaceDN w:val="0"/>
        <w:adjustRightInd w:val="0"/>
        <w:spacing w:line="360" w:lineRule="auto"/>
        <w:jc w:val="both"/>
        <w:textAlignment w:val="baseline"/>
        <w:rPr>
          <w:rFonts w:ascii="Garamond" w:hAnsi="Garamond" w:cs="FrankRuehl"/>
          <w:spacing w:val="10"/>
          <w:szCs w:val="28"/>
          <w:rtl/>
        </w:rPr>
      </w:pPr>
      <w:r>
        <w:rPr>
          <w:rFonts w:ascii="David" w:hAnsi="David"/>
          <w:spacing w:val="10"/>
          <w:sz w:val="26"/>
          <w:szCs w:val="26"/>
          <w:rtl/>
        </w:rPr>
        <w:tab/>
      </w:r>
    </w:p>
    <w:p w:rsidR="006C35DD" w:rsidRDefault="006C35DD" w:rsidP="006C35DD">
      <w:pPr>
        <w:pStyle w:val="ad"/>
        <w:numPr>
          <w:ilvl w:val="0"/>
          <w:numId w:val="1"/>
        </w:numPr>
        <w:spacing w:after="0" w:line="360" w:lineRule="auto"/>
        <w:jc w:val="both"/>
        <w:rPr>
          <w:rFonts w:ascii="Times New Roman" w:hAnsi="Times New Roman" w:cs="David"/>
          <w:noProof/>
          <w:sz w:val="26"/>
          <w:szCs w:val="26"/>
          <w:rtl/>
        </w:rPr>
      </w:pPr>
      <w:r>
        <w:rPr>
          <w:rFonts w:ascii="Times New Roman" w:hAnsi="Times New Roman" w:cs="David"/>
          <w:noProof/>
          <w:sz w:val="26"/>
          <w:szCs w:val="26"/>
          <w:rtl/>
        </w:rPr>
        <w:t xml:space="preserve"> החוק למניעת הטרדה מינית קבע רשימה סגורה של התנהגויות המוגדרות כהטרדה מינית: </w:t>
      </w:r>
      <w:r>
        <w:rPr>
          <w:rFonts w:ascii="Times New Roman" w:hAnsi="Times New Roman" w:cs="David"/>
          <w:b/>
          <w:bCs/>
          <w:noProof/>
          <w:sz w:val="26"/>
          <w:szCs w:val="26"/>
          <w:rtl/>
        </w:rPr>
        <w:t>סחיטה באיומים</w:t>
      </w:r>
      <w:r>
        <w:rPr>
          <w:rFonts w:ascii="Times New Roman" w:hAnsi="Times New Roman" w:cs="David"/>
          <w:noProof/>
          <w:sz w:val="26"/>
          <w:szCs w:val="26"/>
          <w:rtl/>
        </w:rPr>
        <w:t xml:space="preserve">, כאשר המעשה שנדרש אדם לעשותו הוא בעל אופי מיני; </w:t>
      </w:r>
      <w:r>
        <w:rPr>
          <w:rFonts w:ascii="Times New Roman" w:hAnsi="Times New Roman" w:cs="David"/>
          <w:b/>
          <w:bCs/>
          <w:noProof/>
          <w:sz w:val="26"/>
          <w:szCs w:val="26"/>
          <w:rtl/>
        </w:rPr>
        <w:t>מעשים מגונים</w:t>
      </w:r>
      <w:r>
        <w:rPr>
          <w:rFonts w:ascii="Times New Roman" w:hAnsi="Times New Roman" w:cs="David"/>
          <w:noProof/>
          <w:sz w:val="26"/>
          <w:szCs w:val="26"/>
          <w:rtl/>
        </w:rPr>
        <w:t xml:space="preserve">; </w:t>
      </w:r>
      <w:r>
        <w:rPr>
          <w:rFonts w:ascii="Times New Roman" w:hAnsi="Times New Roman" w:cs="David"/>
          <w:b/>
          <w:bCs/>
          <w:noProof/>
          <w:sz w:val="26"/>
          <w:szCs w:val="26"/>
          <w:rtl/>
        </w:rPr>
        <w:t>הצעות</w:t>
      </w:r>
      <w:r>
        <w:rPr>
          <w:rFonts w:ascii="Times New Roman" w:hAnsi="Times New Roman" w:cs="David"/>
          <w:noProof/>
          <w:sz w:val="26"/>
          <w:szCs w:val="26"/>
          <w:rtl/>
        </w:rPr>
        <w:t xml:space="preserve"> חוזרות ונשנות </w:t>
      </w:r>
      <w:r>
        <w:rPr>
          <w:rFonts w:ascii="Times New Roman" w:hAnsi="Times New Roman" w:cs="David"/>
          <w:b/>
          <w:bCs/>
          <w:noProof/>
          <w:sz w:val="26"/>
          <w:szCs w:val="26"/>
          <w:rtl/>
        </w:rPr>
        <w:t>בעלות אופי מיני</w:t>
      </w:r>
      <w:r>
        <w:rPr>
          <w:rFonts w:ascii="Times New Roman" w:hAnsi="Times New Roman" w:cs="David"/>
          <w:noProof/>
          <w:sz w:val="26"/>
          <w:szCs w:val="26"/>
          <w:rtl/>
        </w:rPr>
        <w:t xml:space="preserve">, המופנות לאדם שהראה כי אינו מעוניין בכך; </w:t>
      </w:r>
      <w:r>
        <w:rPr>
          <w:rFonts w:ascii="Times New Roman" w:hAnsi="Times New Roman" w:cs="David"/>
          <w:b/>
          <w:bCs/>
          <w:noProof/>
          <w:sz w:val="26"/>
          <w:szCs w:val="26"/>
          <w:rtl/>
        </w:rPr>
        <w:t>התייחסויות</w:t>
      </w:r>
      <w:r>
        <w:rPr>
          <w:rFonts w:ascii="Times New Roman" w:hAnsi="Times New Roman" w:cs="David"/>
          <w:noProof/>
          <w:sz w:val="26"/>
          <w:szCs w:val="26"/>
          <w:rtl/>
        </w:rPr>
        <w:t xml:space="preserve"> חוזרות לאדם </w:t>
      </w:r>
      <w:r>
        <w:rPr>
          <w:rFonts w:ascii="Times New Roman" w:hAnsi="Times New Roman" w:cs="David"/>
          <w:b/>
          <w:bCs/>
          <w:noProof/>
          <w:sz w:val="26"/>
          <w:szCs w:val="26"/>
          <w:rtl/>
        </w:rPr>
        <w:t>המתמקדות במיניותו</w:t>
      </w:r>
      <w:r>
        <w:rPr>
          <w:rFonts w:ascii="Times New Roman" w:hAnsi="Times New Roman" w:cs="David"/>
          <w:noProof/>
          <w:sz w:val="26"/>
          <w:szCs w:val="26"/>
          <w:rtl/>
        </w:rPr>
        <w:t xml:space="preserve">, כאשר אותו אדם הראשה שהוא אינו מעוניין בהתייחסויות אלו; </w:t>
      </w:r>
      <w:r>
        <w:rPr>
          <w:rFonts w:ascii="Times New Roman" w:hAnsi="Times New Roman" w:cs="David"/>
          <w:b/>
          <w:bCs/>
          <w:noProof/>
          <w:sz w:val="26"/>
          <w:szCs w:val="26"/>
          <w:rtl/>
        </w:rPr>
        <w:t>התייחסות מבזה או משפילה המופנית לאדם ביחס למינו או מניותו,</w:t>
      </w:r>
      <w:r>
        <w:rPr>
          <w:rFonts w:ascii="Times New Roman" w:hAnsi="Times New Roman" w:cs="David"/>
          <w:noProof/>
          <w:sz w:val="26"/>
          <w:szCs w:val="26"/>
          <w:rtl/>
        </w:rPr>
        <w:t xml:space="preserve"> כולל פרסום תצלום, סרט או הקלטה המתמקדות במיניות של אדם, ויש בה כדי לבזות או להשפיל.  </w:t>
      </w:r>
    </w:p>
    <w:p w:rsidR="006C35DD" w:rsidRDefault="006C35DD" w:rsidP="006C35DD">
      <w:pPr>
        <w:pStyle w:val="ad"/>
        <w:numPr>
          <w:ilvl w:val="0"/>
          <w:numId w:val="1"/>
        </w:numPr>
        <w:spacing w:after="0" w:line="360" w:lineRule="auto"/>
        <w:jc w:val="both"/>
        <w:rPr>
          <w:rFonts w:ascii="Times New Roman" w:hAnsi="Times New Roman" w:cs="David"/>
          <w:noProof/>
          <w:sz w:val="26"/>
          <w:szCs w:val="26"/>
        </w:rPr>
      </w:pPr>
      <w:r>
        <w:rPr>
          <w:rFonts w:ascii="Times New Roman" w:hAnsi="Times New Roman" w:cs="David"/>
          <w:noProof/>
          <w:sz w:val="26"/>
          <w:szCs w:val="26"/>
          <w:rtl/>
        </w:rPr>
        <w:t xml:space="preserve">סעיף 6 בחוק מניעת הטרדה מינית קובע כי הטרדה מינית מהווה עוולה אזרחית, שיחולו עליה הוראות פקודת הנזיקין, וכי בית המשפט רשאי לפסוק בשל העוולה האמורה פיצוי ללא הוכחת נזק, בסך של 120,000 ₪, לאחר תיקון סכום הפיצוי </w:t>
      </w:r>
      <w:r>
        <w:rPr>
          <w:rFonts w:ascii="Times New Roman" w:hAnsi="Times New Roman" w:cs="David"/>
          <w:noProof/>
          <w:sz w:val="26"/>
          <w:szCs w:val="26"/>
          <w:rtl/>
        </w:rPr>
        <w:lastRenderedPageBreak/>
        <w:t xml:space="preserve">מיום 6.8.2013. סכום הפיצוי מתעדכן בהתאם לעליית המדד, והוא עומד כיום על 134,458 ₪, כך שפיצוי עבור 7 מקרים של מעשים מגונים עומד על כ- 941,206 ₪, בדומה לסכום שנפסק במעוגל בפסק הדין שניתן בהעדר הגנה. </w:t>
      </w:r>
    </w:p>
    <w:p w:rsidR="006C35DD" w:rsidRDefault="006C35DD" w:rsidP="006C35DD">
      <w:pPr>
        <w:pStyle w:val="ad"/>
        <w:numPr>
          <w:ilvl w:val="0"/>
          <w:numId w:val="1"/>
        </w:numPr>
        <w:spacing w:after="0" w:line="360" w:lineRule="auto"/>
        <w:jc w:val="both"/>
        <w:rPr>
          <w:rFonts w:ascii="Times New Roman" w:hAnsi="Times New Roman" w:cs="David"/>
          <w:noProof/>
          <w:sz w:val="26"/>
          <w:szCs w:val="26"/>
        </w:rPr>
      </w:pPr>
      <w:r>
        <w:rPr>
          <w:rFonts w:ascii="Times New Roman" w:hAnsi="Times New Roman" w:cs="David"/>
          <w:noProof/>
          <w:sz w:val="26"/>
          <w:szCs w:val="26"/>
          <w:rtl/>
        </w:rPr>
        <w:t xml:space="preserve">על מטרת הפיצוי ניתן ללמוד, בין היתר, מקביעות שנקבעו לעניין הפיצוי ללא הוכחת נזק </w:t>
      </w:r>
      <w:r>
        <w:rPr>
          <w:rFonts w:ascii="Times New Roman" w:hAnsi="Times New Roman" w:cs="David"/>
          <w:b/>
          <w:bCs/>
          <w:noProof/>
          <w:sz w:val="26"/>
          <w:szCs w:val="26"/>
          <w:rtl/>
        </w:rPr>
        <w:t>בחוק איסור לשון הרע, התשכ"ה- 1965</w:t>
      </w:r>
      <w:r>
        <w:rPr>
          <w:rFonts w:ascii="Times New Roman" w:hAnsi="Times New Roman" w:cs="David"/>
          <w:noProof/>
          <w:sz w:val="26"/>
          <w:szCs w:val="26"/>
          <w:rtl/>
        </w:rPr>
        <w:t xml:space="preserve">, שלגביו נקבע בהלכה הפסוקה כי מטרתו היא  </w:t>
      </w:r>
      <w:r>
        <w:rPr>
          <w:rFonts w:ascii="David" w:hAnsi="David" w:cs="David"/>
          <w:sz w:val="26"/>
          <w:szCs w:val="26"/>
          <w:rtl/>
        </w:rPr>
        <w:t xml:space="preserve">לקדם שלוש תכליות: "זו התרופתית – שנועדה להשיב את מצבו של הנפגע לקדמותו; זו החינוכית-הרתעתית – שנועדה להעביר את המסר כי שמו הטוב של אדם אינו הפקר; וזו העונשית – הקשורה בכוונתו של המפרסם" (כב' השופט י' עמית בע"א 1726/21 </w:t>
      </w:r>
      <w:r>
        <w:rPr>
          <w:rFonts w:ascii="David" w:hAnsi="David" w:cs="David"/>
          <w:b/>
          <w:bCs/>
          <w:sz w:val="26"/>
          <w:szCs w:val="26"/>
          <w:rtl/>
        </w:rPr>
        <w:t>מוחמד בכרי נ' ניסים מגנאג'י</w:t>
      </w:r>
      <w:r>
        <w:rPr>
          <w:rFonts w:ascii="David" w:hAnsi="David" w:cs="David"/>
          <w:sz w:val="26"/>
          <w:szCs w:val="26"/>
          <w:rtl/>
        </w:rPr>
        <w:t xml:space="preserve"> (23.11.2022), פסקה 74). </w:t>
      </w:r>
      <w:r>
        <w:rPr>
          <w:rFonts w:ascii="Times New Roman" w:hAnsi="Times New Roman" w:cs="David"/>
          <w:noProof/>
          <w:sz w:val="26"/>
          <w:szCs w:val="26"/>
          <w:rtl/>
        </w:rPr>
        <w:t xml:space="preserve">כך גם הפיצוי על פי חוק מניעת הטרדה מינית נועד לקדם לא רק את התכלית התרופתית, של השבת המצב לקדמותו, אלא גם תכלית חינוכית הרתעתית, וכן תכלית עונשית. </w:t>
      </w:r>
    </w:p>
    <w:p w:rsidR="006C35DD" w:rsidRDefault="006C35DD" w:rsidP="006C35DD">
      <w:pPr>
        <w:pStyle w:val="ad"/>
        <w:numPr>
          <w:ilvl w:val="0"/>
          <w:numId w:val="1"/>
        </w:numPr>
        <w:spacing w:after="0" w:line="360" w:lineRule="auto"/>
        <w:jc w:val="both"/>
        <w:rPr>
          <w:rFonts w:ascii="Times New Roman" w:hAnsi="Times New Roman" w:cs="David"/>
          <w:noProof/>
          <w:sz w:val="26"/>
          <w:szCs w:val="26"/>
        </w:rPr>
      </w:pPr>
      <w:r>
        <w:rPr>
          <w:rFonts w:ascii="Times New Roman" w:hAnsi="Times New Roman" w:cs="David"/>
          <w:noProof/>
          <w:sz w:val="26"/>
          <w:szCs w:val="26"/>
          <w:rtl/>
        </w:rPr>
        <w:t xml:space="preserve">בהלכה הפסוקה נקבע אמנם כי תקרת הפיצוי הקבועה בסעיף 6 תחול על כלל המעשים המפורטים בכתב התביעה, ואולם לכלל זה נקבע חריג שלפיו במקרה של מעשים פליליים חמורים, כגון אונס, מעשה סדום או מעשים מגונים, ייפסק הפיצוי לכל אחד מהמעשים (ראו למשל: ע"א 178/06 </w:t>
      </w:r>
      <w:r>
        <w:rPr>
          <w:rFonts w:ascii="Times New Roman" w:hAnsi="Times New Roman" w:cs="David"/>
          <w:b/>
          <w:bCs/>
          <w:noProof/>
          <w:sz w:val="26"/>
          <w:szCs w:val="26"/>
          <w:rtl/>
        </w:rPr>
        <w:t>פלונית נ' אלמוני</w:t>
      </w:r>
      <w:r>
        <w:rPr>
          <w:rFonts w:ascii="Times New Roman" w:hAnsi="Times New Roman" w:cs="David"/>
          <w:noProof/>
          <w:sz w:val="26"/>
          <w:szCs w:val="26"/>
          <w:rtl/>
        </w:rPr>
        <w:t xml:space="preserve"> (מיום 4.11.2010); ת"א (מרכז)  52898-03-20 </w:t>
      </w:r>
      <w:r>
        <w:rPr>
          <w:rFonts w:ascii="Times New Roman" w:hAnsi="Times New Roman" w:cs="David"/>
          <w:b/>
          <w:bCs/>
          <w:noProof/>
          <w:sz w:val="26"/>
          <w:szCs w:val="26"/>
          <w:rtl/>
        </w:rPr>
        <w:t>פלוניות נ' אלמוני</w:t>
      </w:r>
      <w:r>
        <w:rPr>
          <w:rFonts w:ascii="Times New Roman" w:hAnsi="Times New Roman" w:cs="David"/>
          <w:noProof/>
          <w:sz w:val="26"/>
          <w:szCs w:val="26"/>
          <w:rtl/>
        </w:rPr>
        <w:t xml:space="preserve"> (מיום 1.3.2022) (להלן: "</w:t>
      </w:r>
      <w:r>
        <w:rPr>
          <w:rFonts w:ascii="Times New Roman" w:hAnsi="Times New Roman" w:cs="David"/>
          <w:b/>
          <w:bCs/>
          <w:noProof/>
          <w:sz w:val="26"/>
          <w:szCs w:val="26"/>
          <w:rtl/>
        </w:rPr>
        <w:t>פרשת פלוניות</w:t>
      </w:r>
      <w:r>
        <w:rPr>
          <w:rFonts w:ascii="Times New Roman" w:hAnsi="Times New Roman" w:cs="David"/>
          <w:noProof/>
          <w:sz w:val="26"/>
          <w:szCs w:val="26"/>
          <w:rtl/>
        </w:rPr>
        <w:t xml:space="preserve">"); ת"א (מרכז) 59780-10-20 </w:t>
      </w:r>
      <w:r>
        <w:rPr>
          <w:rFonts w:ascii="Times New Roman" w:hAnsi="Times New Roman" w:cs="David"/>
          <w:b/>
          <w:bCs/>
          <w:noProof/>
          <w:sz w:val="26"/>
          <w:szCs w:val="26"/>
          <w:rtl/>
        </w:rPr>
        <w:t>פלונית נ' פלוני</w:t>
      </w:r>
      <w:r>
        <w:rPr>
          <w:rFonts w:ascii="Times New Roman" w:hAnsi="Times New Roman" w:cs="David"/>
          <w:noProof/>
          <w:sz w:val="26"/>
          <w:szCs w:val="26"/>
          <w:rtl/>
        </w:rPr>
        <w:t xml:space="preserve"> (מיום 1.11.2021)).</w:t>
      </w:r>
    </w:p>
    <w:p w:rsidR="006C35DD" w:rsidRDefault="006C35DD" w:rsidP="006C35DD">
      <w:pPr>
        <w:pStyle w:val="ad"/>
        <w:numPr>
          <w:ilvl w:val="0"/>
          <w:numId w:val="1"/>
        </w:numPr>
        <w:spacing w:after="0" w:line="360" w:lineRule="auto"/>
        <w:jc w:val="both"/>
        <w:rPr>
          <w:rFonts w:ascii="Times New Roman" w:hAnsi="Times New Roman" w:cs="David"/>
          <w:noProof/>
          <w:sz w:val="26"/>
          <w:szCs w:val="26"/>
        </w:rPr>
      </w:pPr>
      <w:r>
        <w:rPr>
          <w:rFonts w:ascii="Times New Roman" w:hAnsi="Times New Roman" w:cs="David"/>
          <w:noProof/>
          <w:sz w:val="26"/>
          <w:szCs w:val="26"/>
          <w:rtl/>
        </w:rPr>
        <w:t>כפי שטען הנתבע, הפיצוי שנפסק לא נקבע בהכרח על פי תקרת הפיצוי, ואולם יש והפיצוי</w:t>
      </w:r>
      <w:r>
        <w:rPr>
          <w:rFonts w:ascii="David" w:eastAsia="Times New Roman" w:hAnsi="David" w:cs="David"/>
          <w:sz w:val="26"/>
          <w:szCs w:val="26"/>
          <w:rtl/>
        </w:rPr>
        <w:t xml:space="preserve"> נפסק בהכפלת התקרה המקסימלית במספר המקרים שבהם התקיימו מגעים מיניים בין הצדדים (ראו: ע"ע (ארצי) 40496-05-10 </w:t>
      </w:r>
      <w:r>
        <w:rPr>
          <w:rFonts w:ascii="David" w:eastAsia="Times New Roman" w:hAnsi="David" w:cs="David"/>
          <w:b/>
          <w:bCs/>
          <w:sz w:val="26"/>
          <w:szCs w:val="26"/>
          <w:rtl/>
        </w:rPr>
        <w:t>פלונית נ' אלמוני</w:t>
      </w:r>
      <w:r>
        <w:rPr>
          <w:rFonts w:ascii="David" w:eastAsia="Times New Roman" w:hAnsi="David" w:cs="David"/>
          <w:sz w:val="26"/>
          <w:szCs w:val="26"/>
          <w:rtl/>
        </w:rPr>
        <w:t xml:space="preserve"> (מיום 2.1.21)).</w:t>
      </w:r>
    </w:p>
    <w:p w:rsidR="006C35DD" w:rsidRDefault="006C35DD" w:rsidP="006C35DD">
      <w:pPr>
        <w:pStyle w:val="ad"/>
        <w:numPr>
          <w:ilvl w:val="0"/>
          <w:numId w:val="1"/>
        </w:numPr>
        <w:spacing w:after="0" w:line="360" w:lineRule="auto"/>
        <w:jc w:val="both"/>
        <w:rPr>
          <w:rFonts w:ascii="Times New Roman" w:hAnsi="Times New Roman" w:cs="David"/>
          <w:noProof/>
          <w:sz w:val="26"/>
          <w:szCs w:val="26"/>
        </w:rPr>
      </w:pPr>
      <w:r>
        <w:rPr>
          <w:rFonts w:ascii="Times New Roman" w:hAnsi="Times New Roman" w:cs="David"/>
          <w:noProof/>
          <w:sz w:val="26"/>
          <w:szCs w:val="26"/>
          <w:rtl/>
        </w:rPr>
        <w:t xml:space="preserve">בענייננו לא ביאר הנתבע מדוע ישנה הצדקה לפסיקת סכום אחד לכלל המעשים המפורטים בכתב התביעה, אף לא מדוע יש לפסוק פיצוי נמוך מהתקרה, בשים לב לעבירות שבהן הורשע. </w:t>
      </w:r>
    </w:p>
    <w:p w:rsidR="006C35DD" w:rsidRDefault="006C35DD" w:rsidP="006C35DD">
      <w:pPr>
        <w:pStyle w:val="ad"/>
        <w:numPr>
          <w:ilvl w:val="0"/>
          <w:numId w:val="1"/>
        </w:numPr>
        <w:spacing w:after="0" w:line="360" w:lineRule="auto"/>
        <w:jc w:val="both"/>
        <w:rPr>
          <w:rFonts w:ascii="Times New Roman" w:hAnsi="Times New Roman" w:cs="David"/>
          <w:noProof/>
          <w:sz w:val="26"/>
          <w:szCs w:val="26"/>
        </w:rPr>
      </w:pPr>
      <w:r>
        <w:rPr>
          <w:rFonts w:ascii="Times New Roman" w:hAnsi="Times New Roman" w:cs="David"/>
          <w:noProof/>
          <w:sz w:val="26"/>
          <w:szCs w:val="26"/>
          <w:rtl/>
        </w:rPr>
        <w:t xml:space="preserve">נוכח טיבו של הפיצוי על פי חוק למניעת הטרדה מינית קשה לומר כי בעקבות מתן פסק הדין בהעדר הגנה נגרם לנתבע עוול, אף שההשוואה לפיצוי שנפסק במקרים דומים (למשל בפרשת פלוניות), מעלה כי מדובר בפיצוי גבוה מהמקובל (וראו גם גובה הפיצוי בפסק דיני בת"א (באר שבע) 6071-10-20 </w:t>
      </w:r>
      <w:r>
        <w:rPr>
          <w:rFonts w:ascii="Times New Roman" w:hAnsi="Times New Roman" w:cs="David"/>
          <w:b/>
          <w:bCs/>
          <w:noProof/>
          <w:sz w:val="26"/>
          <w:szCs w:val="26"/>
          <w:rtl/>
        </w:rPr>
        <w:t>פלונית ואח' נ' בן דוד</w:t>
      </w:r>
      <w:r>
        <w:rPr>
          <w:rFonts w:ascii="Times New Roman" w:hAnsi="Times New Roman" w:cs="David"/>
          <w:noProof/>
          <w:sz w:val="26"/>
          <w:szCs w:val="26"/>
          <w:rtl/>
        </w:rPr>
        <w:t xml:space="preserve"> (מיום 26.2.2023)). בנסיבות אלו של העדר עוול עולה משקלם של שיקולים כגון יעילות הדיון והחשיבות בקיום הליך מהיר ויעיל של בירור תביעה נגררת להרשעה בפלילים,  </w:t>
      </w:r>
      <w:r>
        <w:rPr>
          <w:rFonts w:ascii="Times New Roman" w:hAnsi="Times New Roman" w:cs="David"/>
          <w:noProof/>
          <w:sz w:val="26"/>
          <w:szCs w:val="26"/>
          <w:rtl/>
        </w:rPr>
        <w:lastRenderedPageBreak/>
        <w:t xml:space="preserve">וקיימת חשיבות רבה לטעמים שבשלם לא הוגש כתב ההגנה במועד. עיון בבקשה מעלה כי לא ניתן טעם מניח את הדעת להימנעותו של הנתבע מלהגיש את כתב ההגנה במועד. הנתבע טען בבקשה כי התעכב בהגשת כתב ההגנה בשל האבל על פטירת אביו ולא שם לב על אילו מסמכים חתם, ואולם מעיון בייפוי הכוח עולה כאמור שייפוי הכוח ניתן לעורך דינו של הנתבע עוד ביום </w:t>
      </w:r>
      <w:r>
        <w:rPr>
          <w:rFonts w:ascii="David" w:eastAsia="Times New Roman" w:hAnsi="David" w:cs="David"/>
          <w:sz w:val="26"/>
          <w:szCs w:val="26"/>
          <w:rtl/>
        </w:rPr>
        <w:t>8.5.2023, היינו 5 ימים לאחר ביצוע ההמצאה של כתב התביעה לנתבע על ידי שב"ס,</w:t>
      </w:r>
      <w:r>
        <w:rPr>
          <w:rFonts w:ascii="Times New Roman" w:hAnsi="Times New Roman" w:cs="David"/>
          <w:noProof/>
          <w:sz w:val="26"/>
          <w:szCs w:val="26"/>
          <w:rtl/>
        </w:rPr>
        <w:t xml:space="preserve"> וחודשיים לפני מתן פסק הדין בהעדר הגנה, מבלי שניתן כל הסבר מניח את הדעת להימנעותו של הנתבע מהגשת כתב הגנה במועד לאחר החתימה על ייפוי הכוח, ומבלי שצוינו טעמים מיוחדים לכך.</w:t>
      </w:r>
    </w:p>
    <w:p w:rsidR="006C35DD" w:rsidRDefault="006C35DD" w:rsidP="006C35DD">
      <w:pPr>
        <w:pStyle w:val="ad"/>
        <w:numPr>
          <w:ilvl w:val="0"/>
          <w:numId w:val="1"/>
        </w:numPr>
        <w:spacing w:after="0" w:line="360" w:lineRule="auto"/>
        <w:jc w:val="both"/>
        <w:rPr>
          <w:rFonts w:ascii="Times New Roman" w:hAnsi="Times New Roman" w:cs="David"/>
          <w:noProof/>
          <w:sz w:val="26"/>
          <w:szCs w:val="26"/>
        </w:rPr>
      </w:pPr>
      <w:r>
        <w:rPr>
          <w:rFonts w:ascii="Times New Roman" w:hAnsi="Times New Roman" w:cs="David"/>
          <w:noProof/>
          <w:sz w:val="26"/>
          <w:szCs w:val="26"/>
          <w:rtl/>
        </w:rPr>
        <w:t xml:space="preserve">אף שמדובר במקרה גבולי, מצאתי שיש להעתר לבקשה, משיקולי בית המשפט, הן מהטעם שהאיחור בהגשת כתב הגנה לא היה איחור משמעותי, ויתכן שהושפע ממאמצים שעשה הנתבע לסיים את המחלוקת בפשרה, כפי שצוין בתגובת התובע, הן מהטעם שיתכן שמתן האפשרות להתגונן יקטין את גובה הפיצוי. </w:t>
      </w:r>
    </w:p>
    <w:p w:rsidR="006C35DD" w:rsidRDefault="006C35DD" w:rsidP="006C35DD">
      <w:pPr>
        <w:pStyle w:val="ad"/>
        <w:numPr>
          <w:ilvl w:val="0"/>
          <w:numId w:val="1"/>
        </w:numPr>
        <w:spacing w:after="0" w:line="360" w:lineRule="auto"/>
        <w:jc w:val="both"/>
        <w:rPr>
          <w:rFonts w:ascii="Times New Roman" w:hAnsi="Times New Roman" w:cs="David"/>
          <w:noProof/>
          <w:sz w:val="26"/>
          <w:szCs w:val="26"/>
        </w:rPr>
      </w:pPr>
      <w:r>
        <w:rPr>
          <w:rFonts w:ascii="Times New Roman" w:hAnsi="Times New Roman" w:cs="David"/>
          <w:noProof/>
          <w:sz w:val="26"/>
          <w:szCs w:val="26"/>
          <w:rtl/>
        </w:rPr>
        <w:t xml:space="preserve">יחד עם זאת, בשים לב לכך שמדובר במצב גבולי, יבוטל פסק הדין רק ככל שהנתבע ישלם למערער את הוצאותיו בסכום של 25,000 ₪ בתוך 45 ימים. </w:t>
      </w:r>
    </w:p>
    <w:p w:rsidR="006C35DD" w:rsidRDefault="006C35DD" w:rsidP="006C35DD">
      <w:pPr>
        <w:spacing w:line="360" w:lineRule="auto"/>
        <w:jc w:val="both"/>
        <w:rPr>
          <w:b/>
          <w:bCs/>
          <w:sz w:val="26"/>
          <w:szCs w:val="26"/>
          <w:u w:val="single"/>
        </w:rPr>
      </w:pPr>
      <w:r>
        <w:rPr>
          <w:b/>
          <w:bCs/>
          <w:sz w:val="26"/>
          <w:szCs w:val="26"/>
          <w:u w:val="single"/>
          <w:rtl/>
        </w:rPr>
        <w:t>סיכום</w:t>
      </w:r>
    </w:p>
    <w:p w:rsidR="006C35DD" w:rsidRDefault="006C35DD" w:rsidP="006C35DD">
      <w:pPr>
        <w:pStyle w:val="ad"/>
        <w:numPr>
          <w:ilvl w:val="0"/>
          <w:numId w:val="1"/>
        </w:numPr>
        <w:spacing w:after="0" w:line="360" w:lineRule="auto"/>
        <w:jc w:val="both"/>
        <w:rPr>
          <w:rFonts w:ascii="Times New Roman" w:hAnsi="Times New Roman" w:cs="David"/>
          <w:noProof/>
          <w:sz w:val="26"/>
          <w:szCs w:val="26"/>
        </w:rPr>
      </w:pPr>
      <w:r>
        <w:rPr>
          <w:rFonts w:ascii="Times New Roman" w:hAnsi="Times New Roman" w:cs="David"/>
          <w:noProof/>
          <w:sz w:val="26"/>
          <w:szCs w:val="26"/>
          <w:rtl/>
        </w:rPr>
        <w:t xml:space="preserve">פסק הדין יבוטל ככל שבתוך 45 ימים יגיש הנתבע כתב הגנה וישלם לתובע את הוצאותיו בסכום של 25,000 ₪. ככל שלא יעמוד במועדים האמורים יוותר פסק הדין על כנו. </w:t>
      </w:r>
    </w:p>
    <w:p w:rsidR="00694556" w:rsidRPr="006C35DD" w:rsidRDefault="00694556">
      <w:pPr>
        <w:spacing w:line="360" w:lineRule="auto"/>
        <w:jc w:val="both"/>
        <w:rPr>
          <w:rFonts w:ascii="Arial" w:hAnsi="Arial"/>
          <w:noProof w:val="0"/>
          <w:rtl/>
        </w:rPr>
      </w:pPr>
    </w:p>
    <w:p w:rsidR="00694556" w:rsidRPr="006C35DD" w:rsidRDefault="006C35DD">
      <w:pPr>
        <w:spacing w:line="360" w:lineRule="auto"/>
        <w:jc w:val="both"/>
        <w:rPr>
          <w:rFonts w:ascii="Arial" w:hAnsi="Arial"/>
          <w:b/>
          <w:bCs/>
          <w:noProof w:val="0"/>
          <w:rtl/>
        </w:rPr>
      </w:pPr>
      <w:r w:rsidRPr="006C35DD">
        <w:rPr>
          <w:rFonts w:ascii="Arial" w:hAnsi="Arial" w:hint="cs"/>
          <w:b/>
          <w:bCs/>
          <w:noProof w:val="0"/>
          <w:rtl/>
        </w:rPr>
        <w:t>ניתן לפרסם את ההחלטה ללא ציון פרטים מזהים</w:t>
      </w:r>
      <w:r w:rsidR="00527705">
        <w:rPr>
          <w:rFonts w:ascii="Arial" w:hAnsi="Arial" w:hint="cs"/>
          <w:b/>
          <w:bCs/>
          <w:noProof w:val="0"/>
          <w:rtl/>
        </w:rPr>
        <w:t xml:space="preserve"> של התובע ושל הנתבע</w:t>
      </w:r>
    </w:p>
    <w:p w:rsidR="00694556" w:rsidRPr="00B95D6E" w:rsidRDefault="00694556">
      <w:pPr>
        <w:spacing w:line="360" w:lineRule="auto"/>
        <w:jc w:val="both"/>
        <w:rPr>
          <w:rFonts w:ascii="Arial" w:hAnsi="Arial"/>
          <w:noProof w:val="0"/>
          <w:rtl/>
        </w:rPr>
      </w:pPr>
    </w:p>
    <w:p w:rsidR="006C35DD" w:rsidRDefault="006C35DD">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טבת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דצמבר 2023</w:t>
          </w:r>
        </w:sdtContent>
      </w:sdt>
      <w:r w:rsidR="00005C8B">
        <w:rPr>
          <w:rFonts w:ascii="Arial" w:hAnsi="Arial"/>
          <w:noProof w:val="0"/>
          <w:rtl/>
        </w:rPr>
        <w:t>, בהעדר הצדדים.</w:t>
      </w:r>
    </w:p>
    <w:p w:rsidR="00C43648" w:rsidRDefault="0087126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97120704"/>
        </w:sdtPr>
        <w:sdtEndPr/>
        <w:sdtContent>
          <w:r w:rsidR="006D6069">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264" w:rsidRDefault="00871264">
      <w:r>
        <w:separator/>
      </w:r>
    </w:p>
  </w:endnote>
  <w:endnote w:type="continuationSeparator" w:id="0">
    <w:p w:rsidR="00871264" w:rsidRDefault="0087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600E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600E3">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264" w:rsidRDefault="00871264">
      <w:r>
        <w:separator/>
      </w:r>
    </w:p>
  </w:footnote>
  <w:footnote w:type="continuationSeparator" w:id="0">
    <w:p w:rsidR="00871264" w:rsidRDefault="00871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871264" w:rsidP="006C35DD">
          <w:pPr>
            <w:rPr>
              <w:b/>
              <w:bCs/>
              <w:noProof w:val="0"/>
              <w:sz w:val="26"/>
              <w:szCs w:val="26"/>
              <w:rtl/>
            </w:rPr>
          </w:pPr>
          <w:sdt>
            <w:sdtPr>
              <w:rPr>
                <w:rtl/>
              </w:rPr>
              <w:alias w:val="1170"/>
              <w:tag w:val="1170"/>
              <w:id w:val="1066377040"/>
              <w:text w:multiLine="1"/>
            </w:sdtPr>
            <w:sdtEndPr/>
            <w:sdtContent>
              <w:r w:rsidR="00AC5857">
                <w:rPr>
                  <w:b/>
                  <w:bCs/>
                  <w:noProof w:val="0"/>
                  <w:sz w:val="26"/>
                  <w:szCs w:val="26"/>
                  <w:rtl/>
                </w:rPr>
                <w:t>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AC5857">
                <w:rPr>
                  <w:b/>
                  <w:bCs/>
                  <w:noProof w:val="0"/>
                  <w:sz w:val="26"/>
                  <w:szCs w:val="26"/>
                  <w:rtl/>
                </w:rPr>
                <w:t>18585-01-23</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AC5857">
                <w:rPr>
                  <w:b/>
                  <w:bCs/>
                  <w:noProof w:val="0"/>
                  <w:sz w:val="26"/>
                  <w:szCs w:val="26"/>
                  <w:rtl/>
                </w:rPr>
                <w:t xml:space="preserve">פלוני נ' </w:t>
              </w:r>
              <w:r w:rsidR="006C35DD">
                <w:rPr>
                  <w:rFonts w:hint="cs"/>
                  <w:b/>
                  <w:bCs/>
                  <w:noProof w:val="0"/>
                  <w:sz w:val="26"/>
                  <w:szCs w:val="26"/>
                  <w:rtl/>
                </w:rPr>
                <w:t>פלוני</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06D80"/>
    <w:multiLevelType w:val="hybridMultilevel"/>
    <w:tmpl w:val="80B2C2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89361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893611&amp;lt;/CaseID&amp;gt;_x000d__x000a_        &amp;lt;CaseMonth&amp;gt;1&amp;lt;/CaseMonth&amp;gt;_x000d__x000a_        &amp;lt;CaseYear&amp;gt;2023&amp;lt;/CaseYear&amp;gt;_x000d__x000a_        &amp;lt;CaseNumber&amp;gt;18585&amp;lt;/CaseNumber&amp;gt;_x000d__x000a_        &amp;lt;NumeratorGroupID&amp;gt;1&amp;lt;/NumeratorGroupID&amp;gt;_x000d__x000a_        &amp;lt;CaseName&amp;gt;סנדרס נ&amp;#39; כהנא&amp;lt;/CaseName&amp;gt;_x000d__x000a_        &amp;lt;CourtID&amp;gt;16&amp;lt;/CourtID&amp;gt;_x000d__x000a_        &amp;lt;CaseTypeID&amp;gt;1&amp;lt;/CaseTypeID&amp;gt;_x000d__x000a_        &amp;lt;CaseInterestID&amp;gt;10446&amp;lt;/CaseInterestID&amp;gt;_x000d__x000a_        &amp;lt;CaseJudgeName&amp;gt;יעל ייטב&amp;lt;/CaseJudgeName&amp;gt;_x000d__x000a_        &amp;lt;ProcedureID&amp;gt;1&amp;lt;/ProcedureID&amp;gt;_x000d__x000a_        &amp;lt;CaseStatusID&amp;gt;2&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8585-01-23&amp;lt;/CaseDisplayIdentifier&amp;gt;_x000d__x000a_        &amp;lt;CaseTypeDesc&amp;gt;ת&amp;quot;א&amp;lt;/CaseTypeDesc&amp;gt;_x000d__x000a_        &amp;lt;CourtDesc&amp;gt;המחוזי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TemporaryAidStatus /&amp;gt;_x000d__x000a_        &amp;lt;CaseOpenDate&amp;gt;2023-01-08T12:31:00+02:00&amp;lt;/CaseOpenDate&amp;gt;_x000d__x000a_        &amp;lt;PleaTypeID&amp;gt;4&amp;lt;/PleaTypeID&amp;gt;_x000d__x000a_        &amp;lt;CourtLevelID&amp;gt;2&amp;lt;/CourtLevelID&amp;gt;_x000d__x000a_        &amp;lt;CourtLevelCaseTypeInterestID&amp;gt;1547&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893611&amp;lt;/CaseID&amp;gt;_x000d__x000a_        &amp;lt;CaseMonth&amp;gt;1&amp;lt;/CaseMonth&amp;gt;_x000d__x000a_        &amp;lt;CaseYear&amp;gt;2023&amp;lt;/CaseYear&amp;gt;_x000d__x000a_        &amp;lt;CaseNumber&amp;gt;18585&amp;lt;/CaseNumber&amp;gt;_x000d__x000a_        &amp;lt;NumeratorGroupID&amp;gt;1&amp;lt;/NumeratorGroupID&amp;gt;_x000d__x000a_        &amp;lt;CaseName&amp;gt;סנדרס נ&amp;#39; כהנא&amp;lt;/CaseName&amp;gt;_x000d__x000a_        &amp;lt;CourtID&amp;gt;16&amp;lt;/CourtID&amp;gt;_x000d__x000a_        &amp;lt;CaseTypeID&amp;gt;1&amp;lt;/CaseTypeID&amp;gt;_x000d__x000a_        &amp;lt;CaseInterestID&amp;gt;10446&amp;lt;/CaseInterestID&amp;gt;_x000d__x000a_        &amp;lt;CaseJudgeName&amp;gt;יעל ייטב&amp;lt;/CaseJudgeName&amp;gt;_x000d__x000a_        &amp;lt;ProcedureID&amp;gt;1&amp;lt;/ProcedureID&amp;gt;_x000d__x000a_        &amp;lt;CaseStatusID&amp;gt;2&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8585-01-23&amp;lt;/CaseDisplayIdentifier&amp;gt;_x000d__x000a_        &amp;lt;CaseTypeDesc&amp;gt;ת&amp;quot;א&amp;lt;/CaseTypeDesc&amp;gt;_x000d__x000a_        &amp;lt;CourtDesc&amp;gt;המחוזי באר שבע&amp;lt;/CourtDesc&amp;gt;_x000d__x000a_        &amp;lt;CaseStageDesc&amp;gt;תיק אלקטרוני&amp;lt;/CaseStageDesc&amp;gt;_x000d__x000a_        &amp;lt;CaseOpenDate&amp;gt;2023-01-08T12:31:00+02:00&amp;lt;/CaseOpenDate&amp;gt;_x000d__x000a_        &amp;lt;PleaTypeID&amp;gt;4&amp;lt;/PleaTypeID&amp;gt;_x000d__x000a_        &amp;lt;CourtLevelID&amp;gt;2&amp;lt;/CourtLevelID&amp;gt;_x000d__x000a_        &amp;lt;CourtLevelCaseTypeInterestID&amp;gt;1547&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2-25T09:14:47.743334+02:00&amp;lt;/DecisionStatusChangeDate&amp;gt;_x000d__x000a_        &amp;lt;DecisionSignatureDate&amp;gt;2023-12-25T09:14:47.743334+02:00&amp;lt;/DecisionSignatureDate&amp;gt;_x000d__x000a_        &amp;lt;DecisionSignatureUserID&amp;gt;056827116@GOV.IL&amp;lt;/DecisionSignatureUserID&amp;gt;_x000d__x000a_        &amp;lt;DecisionCreateDate&amp;gt;2023-12-25T09:14:47.743334+02:00&amp;lt;/DecisionCreateDate&amp;gt;_x000d__x000a_        &amp;lt;DecisionChangeDate&amp;gt;2023-12-25T09:14:47.743334+02:00&amp;lt;/DecisionChangeDate&amp;gt;_x000d__x000a_        &amp;lt;DecisionChangeUserID&amp;gt;0568271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8271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82711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89361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446"/>
    <w:docVar w:name="NGCS.TemplateCaseTypeID" w:val="1"/>
    <w:docVar w:name="NGCS.TemplateCategoryID" w:val="80"/>
    <w:docVar w:name="NGCS.TemplateCourtID" w:val="16"/>
    <w:docVar w:name="NGCS.TemplateProceedingID" w:val="1"/>
    <w:docVar w:name="SelectedDocumentID" w:val="425992063"/>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52BC"/>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0666"/>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13222"/>
    <w:rsid w:val="00520898"/>
    <w:rsid w:val="00523621"/>
    <w:rsid w:val="00524986"/>
    <w:rsid w:val="005268F6"/>
    <w:rsid w:val="00527705"/>
    <w:rsid w:val="00534284"/>
    <w:rsid w:val="00547DB7"/>
    <w:rsid w:val="005600E3"/>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C35DD"/>
    <w:rsid w:val="006D3B31"/>
    <w:rsid w:val="006D6069"/>
    <w:rsid w:val="006E0D96"/>
    <w:rsid w:val="006E1A53"/>
    <w:rsid w:val="006F56E6"/>
    <w:rsid w:val="00704EDA"/>
    <w:rsid w:val="00721122"/>
    <w:rsid w:val="00733ED6"/>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1264"/>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A51D5"/>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C7AB2"/>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BF213F"/>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2190"/>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qFormat/>
    <w:rsid w:val="006C35DD"/>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default">
    <w:name w:val="default"/>
    <w:basedOn w:val="a0"/>
    <w:rsid w:val="006C3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2811823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F51CA" w:rsidP="00DF51CA">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D09CE" w:rsidP="002D09CE">
          <w:pPr>
            <w:pStyle w:val="D290653DA13E4E738B7E725F79D7332923"/>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2D09CE" w:rsidP="002D09CE">
          <w:pPr>
            <w:pStyle w:val="1C8A38705F7143EA87FF3DEB2C34E7E55"/>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2D09CE" w:rsidP="002D09CE">
          <w:pPr>
            <w:pStyle w:val="4DC45A2FD697422FAA3CD896A84FA7B45"/>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34FB9"/>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DF51CA"/>
    <w:rsid w:val="00E31BF6"/>
    <w:rsid w:val="00E81DB1"/>
    <w:rsid w:val="00F04DC1"/>
    <w:rsid w:val="00F32DCA"/>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51C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DF51C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79893611</CaseID>
    <CaseJudicialPersonPresentationDS>
      <CaseJudicalPersonActive>
        <CaseID>79893611</CaseID>
        <JudicialPersonID>056827116@GOV.IL</JudicialPersonID>
        <JudicialPersonTypeID>1</JudicialPersonTypeID>
        <JudicialTypeID>1</JudicialTypeID>
        <IsChairman>false</IsChairman>
        <TreatmentStartDate>2023-01-09T06:52:53.513+02:00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רועי כהן</FullName>
        <FirstName>רועי</FirstName>
        <LastName>כהן</LastName>
        <PartyPropertyName/>
        <AuthenticationTypeAndNumber>מ.ר. 53858</AuthenticationTypeAndNumber>
        <RepresentatedOrRepresentativesNames>צבי הירש כהנא</RepresentatedOrRepresentativesNames>
        <RepresentatedOrRepresentativesCount>1</RepresentatedOrRepresentativesCount>
        <InvitedBy/>
        <CaseID>79893611</CaseID>
        <CaseJudicialPersonPresentationDS>
          <CaseJudicalPersonActive>
            <CaseID>79893611</CaseID>
            <JudicialPersonID>056827116@GOV.IL</JudicialPersonID>
            <JudicialPersonTypeID>1</JudicialPersonTypeID>
            <JudicialTypeID>1</JudicialTypeID>
            <IsChairman>false</IsChairman>
            <TreatmentStartDate>2023-01-09T06:52:53.513+02:00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259905892</CasePartyID>
        <PartyTypeID>2</PartyTypeID>
        <ActivityStatusID>1</ActivityStatusID>
        <PartyAliasID>21</PartyAliasID>
        <PartyAliasName>בא כוח נתבעים</PartyAliasName>
        <LegalEntityID>72144912</LegalEntityID>
        <CaseLegalEntityID>125727286</CaseLegalEntityID>
        <AuthenticationTypeID>4</AuthenticationTypeID>
        <AuthenticationTypeName>מ.ר.</AuthenticationTypeName>
        <LegalEntityNumber>53858</LegalEntityNumber>
        <IsMainPartyType>true</IsMainPartyType>
        <CaseDisplayIdentifier>18585-01-23</CaseDisplayIdentifier>
        <CaseTypeID>1</CaseTypeID>
        <CaseTypeName>תיק אזרחי בסדר דין רגיל (ת"א)</CaseTypeName>
        <CaseName>סנדרס נ' כהנא</CaseName>
        <FullAddress>המגילה 24 ראשון לציון </FullAddress>
        <EmailAddress>roicohen34@gmail.com</EmailAddress>
        <MotionID>0</MotionID>
        <CasePleaID>0</CasePleaID>
        <LinkedCaseID>0</LinkedCaseID>
        <PartyID>2</PartyID>
        <CasePartyCategoryID>2</CasePartyCategoryID>
        <LegalEntityAddressID>85790603</LegalEntityAddressID>
        <LegalEntityEmailAddressID>67936653</LegalEntityEmailAddressID>
        <PleaTypeID>4</PleaTypeID>
        <LawyerOfficeName>משרד עו"ד רועי כהן</LawyerOfficeName>
        <LawyerOfficeID>72144913</LawyerOfficeID>
        <GroupPartyAlias/>
        <IsConverted>false</IsConverted>
        <LegalEntityNameID>75852704</LegalEntityNameID>
        <RepresentatedNamesOfAssistant/>
        <LegalEntityTypeID>4</LegalEntityTypeID>
        <IsVerdictExists>false</IsVerdictExists>
        <IsAsirAzir>false</IsAsirAzir>
        <IsPublicationProhibited>false</IsPublicationProhibited>
        <PublicationProhibitedFullName>רועי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סהראב אעויסאת</FullName>
        <FirstName>סהראב</FirstName>
        <LastName>אעויסאת</LastName>
        <PartyPropertyName/>
        <AuthenticationTypeAndNumber>מ.ר. 36648</AuthenticationTypeAndNumber>
        <RepresentatedOrRepresentativesNames>צבי הירש כהנא</RepresentatedOrRepresentativesNames>
        <RepresentatedOrRepresentativesCount>1</RepresentatedOrRepresentativesCount>
        <InvitedBy/>
        <CaseID>79893611</CaseID>
        <CaseJudicialPersonPresentationDS>
          <CaseJudicalPersonActive>
            <CaseID>79893611</CaseID>
            <JudicialPersonID>056827116@GOV.IL</JudicialPersonID>
            <JudicialPersonTypeID>1</JudicialPersonTypeID>
            <JudicialTypeID>1</JudicialTypeID>
            <IsChairman>false</IsChairman>
            <TreatmentStartDate>2023-01-09T06:52:53.513+02:00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260311833</CasePartyID>
        <PartyTypeID>2</PartyTypeID>
        <ActivityStatusID>1</ActivityStatusID>
        <PartyAliasID>21</PartyAliasID>
        <PartyAliasName>בא כוח נתבעים</PartyAliasName>
        <LegalEntityID>408299</LegalEntityID>
        <CaseLegalEntityID>125861649</CaseLegalEntityID>
        <AuthenticationTypeID>4</AuthenticationTypeID>
        <AuthenticationTypeName>מ.ר.</AuthenticationTypeName>
        <LegalEntityNumber>36648</LegalEntityNumber>
        <IsMainPartyType>true</IsMainPartyType>
        <CaseDisplayIdentifier>18585-01-23</CaseDisplayIdentifier>
        <CaseTypeID>1</CaseTypeID>
        <CaseTypeName>תיק אזרחי בסדר דין רגיל (ת"א)</CaseTypeName>
        <CaseName>סנדרס נ' כהנא</CaseName>
        <FullAddress>נרייטה סולד 1 באר שבע קומה 3 ת.ד-10237</FullAddress>
        <EmailAddress>siharb@ashraf-law.co.il</EmailAddress>
        <MotionID>0</MotionID>
        <CasePleaID>0</CasePleaID>
        <LinkedCaseID>0</LinkedCaseID>
        <PartyID>2</PartyID>
        <CasePartyCategoryID>2</CasePartyCategoryID>
        <LegalEntityAddressID>82344280</LegalEntityAddressID>
        <LegalEntityEmailAddressID>68008106</LegalEntityEmailAddressID>
        <PleaTypeID>4</PleaTypeID>
        <LawyerOfficeName>משרד עו"ד: סהראב עויסאת שיח' יוסף</LawyerOfficeName>
        <LawyerOfficeID>448943</LawyerOfficeID>
        <GroupPartyAlias/>
        <IsConverted>false</IsConverted>
        <LegalEntityNameID>29283</LegalEntityNameID>
        <RepresentatedNamesOfAssistant/>
        <LegalEntityTypeID>4</LegalEntityTypeID>
        <IsVerdictExists>false</IsVerdictExists>
        <IsAsirAzir>false</IsAsirAzir>
        <IsPublicationProhibited>false</IsPublicationProhibited>
        <PublicationProhibitedFullName>סהראב אעויסאת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תומר ששון</FullName>
        <FirstName>תומר</FirstName>
        <LastName>ששון</LastName>
        <PartyPropertyName/>
        <AuthenticationTypeAndNumber>מ.ר. 56123</AuthenticationTypeAndNumber>
        <RepresentatedOrRepresentativesNames>צבי הירש כהנא</RepresentatedOrRepresentativesNames>
        <RepresentatedOrRepresentativesCount>1</RepresentatedOrRepresentativesCount>
        <InvitedBy/>
        <CaseID>79893611</CaseID>
        <CaseJudicialPersonPresentationDS>
          <CaseJudicalPersonActive>
            <CaseID>79893611</CaseID>
            <JudicialPersonID>056827116@GOV.IL</JudicialPersonID>
            <JudicialPersonTypeID>1</JudicialPersonTypeID>
            <JudicialTypeID>1</JudicialTypeID>
            <IsChairman>false</IsChairman>
            <TreatmentStartDate>2023-01-09T06:52:53.513+02:00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260726949</CasePartyID>
        <PartyTypeID>2</PartyTypeID>
        <ActivityStatusID>1</ActivityStatusID>
        <PartyAliasID>21</PartyAliasID>
        <PartyAliasName>בא כוח נתבעים</PartyAliasName>
        <LegalEntityID>71439402</LegalEntityID>
        <CaseLegalEntityID>125992724</CaseLegalEntityID>
        <AuthenticationTypeID>4</AuthenticationTypeID>
        <AuthenticationTypeName>מ.ר.</AuthenticationTypeName>
        <LegalEntityNumber>56123</LegalEntityNumber>
        <IsMainPartyType>true</IsMainPartyType>
        <CaseDisplayIdentifier>18585-01-23</CaseDisplayIdentifier>
        <CaseTypeID>1</CaseTypeID>
        <CaseTypeName>תיק אזרחי בסדר דין רגיל (ת"א)</CaseTypeName>
        <CaseName>סנדרס נ' כהנא</CaseName>
        <FullAddress>טרכטנברג 18 ראשון לציון ת.ד 68015</FullAddress>
        <EmailAddress>tomer3630@walla.com</EmailAddress>
        <MotionID>0</MotionID>
        <CasePleaID>0</CasePleaID>
        <LinkedCaseID>0</LinkedCaseID>
        <PartyID>2</PartyID>
        <CasePartyCategoryID>2</CasePartyCategoryID>
        <LegalEntityAddressID>73315244</LegalEntityAddressID>
        <LegalEntityEmailAddressID>68175872</LegalEntityEmailAddressID>
        <PleaTypeID>4</PleaTypeID>
        <LawyerOfficeName>משרד עו"ד תומר ששון</LawyerOfficeName>
        <LawyerOfficeID>71439403</LawyerOfficeID>
        <GroupPartyAlias/>
        <IsConverted>false</IsConverted>
        <LegalEntityNameID>74595991</LegalEntityNameID>
        <RepresentatedNamesOfAssistant/>
        <LegalEntityTypeID>4</LegalEntityTypeID>
        <IsVerdictExists>false</IsVerdictExists>
        <IsAsirAzir>false</IsAsirAzir>
        <IsPublicationProhibited>false</IsPublicationProhibited>
        <PublicationProhibitedFullName>תומר ששון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דוד סנדרס</FullName>
        <FirstName>דוד</FirstName>
        <LastName>סנדרס</LastName>
        <PartyPropertyName/>
        <AuthenticationTypeAndNumber>ת"ז 307846188</AuthenticationTypeAndNumber>
        <RepresentatedOrRepresentativesNames>הילה יסקין, שי יסקין</RepresentatedOrRepresentativesNames>
        <RepresentatedOrRepresentativesCount>2</RepresentatedOrRepresentativesCount>
        <InvitedBy/>
        <CaseID>79893611</CaseID>
        <CaseJudicialPersonPresentationDS>
          <CaseJudicalPersonActive>
            <CaseID>79893611</CaseID>
            <JudicialPersonID>056827116@GOV.IL</JudicialPersonID>
            <JudicialPersonTypeID>1</JudicialPersonTypeID>
            <JudicialTypeID>1</JudicialTypeID>
            <IsChairman>false</IsChairman>
            <TreatmentStartDate>2023-01-09T06:52:53.513+02:00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250262417</CasePartyID>
        <PartyTypeID>1</PartyTypeID>
        <ActivityStatusID>1</ActivityStatusID>
        <PartyAliasID>1</PartyAliasID>
        <PartyAliasName>תובע</PartyAliasName>
        <OrdinalNumber>1</OrdinalNumber>
        <LegalEntityID>74209703</LegalEntityID>
        <CaseLegalEntityID>122669467</CaseLegalEntityID>
        <AuthenticationTypeID>1</AuthenticationTypeID>
        <AuthenticationTypeName>ת"ז</AuthenticationTypeName>
        <LegalEntityNumber>307846188</LegalEntityNumber>
        <IsMainPartyType>true</IsMainPartyType>
        <CaseDisplayIdentifier>18585-01-23</CaseDisplayIdentifier>
        <CaseTypeID>1</CaseTypeID>
        <CaseTypeName>תיק אזרחי בסדר דין רגיל (ת"א)</CaseTypeName>
        <CaseName>סנדרס נ' כהנא</CaseName>
        <FullAddress>הציונות 45 אשדוד </FullAddress>
        <MotionID>0</MotionID>
        <CasePleaID>0</CasePleaID>
        <FatherName>מרדכי</FatherName>
        <LinkedCaseID>0</LinkedCaseID>
        <PartyID>1</PartyID>
        <CasePartyCategoryID>2</CasePartyCategoryID>
        <LegalEntityAddressID>87397689</LegalEntityAddressID>
        <PleaTypeID>4</PleaTypeID>
        <GroupPartyAlias>תובעים</GroupPartyAlias>
        <IsConverted>false</IsConverted>
        <LegalEntityRegisteredNameID>8974883</LegalEntityRegisteredNameID>
        <LegalEntityNameID>94219037</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 יסקין</FullName>
        <FirstName>שי</FirstName>
        <LastName>יסקין</LastName>
        <PartyPropertyName/>
        <AuthenticationTypeAndNumber>מ.ר. 79484</AuthenticationTypeAndNumber>
        <RepresentatedOrRepresentativesNames>דוד סנדרס</RepresentatedOrRepresentativesNames>
        <RepresentatedOrRepresentativesCount>1</RepresentatedOrRepresentativesCount>
        <InvitedBy/>
        <CaseID>79893611</CaseID>
        <CaseJudicialPersonPresentationDS>
          <CaseJudicalPersonActive>
            <CaseID>79893611</CaseID>
            <JudicialPersonID>056827116@GOV.IL</JudicialPersonID>
            <JudicialPersonTypeID>1</JudicialPersonTypeID>
            <JudicialTypeID>1</JudicialTypeID>
            <IsChairman>false</IsChairman>
            <TreatmentStartDate>2023-01-09T06:52:53.513+02:00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250262418</CasePartyID>
        <PartyTypeID>2</PartyTypeID>
        <ActivityStatusID>1</ActivityStatusID>
        <PartyAliasID>20</PartyAliasID>
        <PartyAliasName>בא כוח תובעים</PartyAliasName>
        <OrdinalNumber>1</OrdinalNumber>
        <LegalEntityID>76951873</LegalEntityID>
        <CaseLegalEntityID>122669468</CaseLegalEntityID>
        <AuthenticationTypeID>4</AuthenticationTypeID>
        <AuthenticationTypeName>מ.ר.</AuthenticationTypeName>
        <LegalEntityNumber>79484</LegalEntityNumber>
        <IsMainPartyType>true</IsMainPartyType>
        <CaseDisplayIdentifier>18585-01-23</CaseDisplayIdentifier>
        <CaseTypeID>1</CaseTypeID>
        <CaseTypeName>תיק אזרחי בסדר דין רגיל (ת"א)</CaseTypeName>
        <CaseName>סנדרס נ' כהנא</CaseName>
        <FullAddress>משה דיין 14 פתח תקווה </FullAddress>
        <EmailAddress>shai@yeskinco.com</EmailAddress>
        <MotionID>0</MotionID>
        <CasePleaID>0</CasePleaID>
        <LinkedCaseID>0</LinkedCaseID>
        <PartyID>1</PartyID>
        <CasePartyCategoryID>2</CasePartyCategoryID>
        <LegalEntityAddressID>84815203</LegalEntityAddressID>
        <LegalEntityEmailAddressID>68056670</LegalEntityEmailAddressID>
        <PleaTypeID>4</PleaTypeID>
        <LawyerOfficeName>משרד עו"ד שי יסקין</LawyerOfficeName>
        <LawyerOfficeID>76951874</LawyerOfficeID>
        <GroupPartyAlias/>
        <IsConverted>false</IsConverted>
        <LegalEntityNameID>85164198</LegalEntityNameID>
        <RepresentatedNamesOfAssistant/>
        <LegalEntityTypeID>4</LegalEntityTypeID>
        <IsVerdictExists>false</IsVerdictExists>
        <IsAsirAzir>false</IsAsirAzir>
        <IsPublicationProhibited>false</IsPublicationProhibited>
        <PublicationProhibitedFullName>שי יסקין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צבי הירש כהנא</FullName>
        <FirstName>צבי הירש</FirstName>
        <LastName>כהנה</LastName>
        <PartyPropertyName/>
        <AuthenticationTypeAndNumber>ת"ז 028076024</AuthenticationTypeAndNumber>
        <RepresentatedOrRepresentativesNames>סהראב אעויסאת, רועי כהן, תומר ששון</RepresentatedOrRepresentativesNames>
        <RepresentatedOrRepresentativesCount>3</RepresentatedOrRepresentativesCount>
        <InvitedBy/>
        <CaseID>79893611</CaseID>
        <CaseJudicialPersonPresentationDS>
          <CaseJudicalPersonActive>
            <CaseID>79893611</CaseID>
            <JudicialPersonID>056827116@GOV.IL</JudicialPersonID>
            <JudicialPersonTypeID>1</JudicialPersonTypeID>
            <JudicialTypeID>1</JudicialTypeID>
            <IsChairman>false</IsChairman>
            <TreatmentStartDate>2023-01-09T06:52:53.513+02:00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250262419</CasePartyID>
        <PartyTypeID>1</PartyTypeID>
        <ActivityStatusID>1</ActivityStatusID>
        <PartyAliasID>2</PartyAliasID>
        <PartyAliasName>נתבע</PartyAliasName>
        <OrdinalNumber>1</OrdinalNumber>
        <LegalEntityID>57992873</LegalEntityID>
        <CaseLegalEntityID>122669469</CaseLegalEntityID>
        <AuthenticationTypeID>1</AuthenticationTypeID>
        <AuthenticationTypeName>ת"ז</AuthenticationTypeName>
        <LegalEntityNumber>028076024</LegalEntityNumber>
        <IsMainPartyType>true</IsMainPartyType>
        <CaseDisplayIdentifier>18585-01-23</CaseDisplayIdentifier>
        <CaseTypeID>1</CaseTypeID>
        <CaseTypeName>תיק אזרחי בסדר דין רגיל (ת"א)</CaseTypeName>
        <CaseName>סנדרס נ' כהנא</CaseName>
        <FullAddress>הרב יוסף קארו 27/3 אשדוד </FullAddress>
        <MotionID>0</MotionID>
        <CasePleaID>0</CasePleaID>
        <FatherName>משה נחמן</FatherName>
        <LinkedCaseID>0</LinkedCaseID>
        <PartyID>2</PartyID>
        <CasePartyCategoryID>2</CasePartyCategoryID>
        <LegalEntityAddressID>88147462</LegalEntityAddressID>
        <GrandfatherName/>
        <DrivingLicenseNumber>7097598</DrivingLicenseNumber>
        <PleaTypeID>4</PleaTypeID>
        <GroupPartyAlias>נתבעים</GroupPartyAlias>
        <IsConverted>false</IsConverted>
        <LegalEntityRegisteredNameID>2498740</LegalEntityRegisteredNameID>
        <LegalEntityNameID>94219038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צבי הירש כהנא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הילה יסקין</FullName>
        <FirstName>הילה</FirstName>
        <LastName>יסקין</LastName>
        <PartyPropertyName/>
        <AuthenticationTypeAndNumber>מ.ר. 37138</AuthenticationTypeAndNumber>
        <RepresentatedOrRepresentativesNames>דוד סנדרס</RepresentatedOrRepresentativesNames>
        <RepresentatedOrRepresentativesCount>1</RepresentatedOrRepresentativesCount>
        <InvitedBy/>
        <CaseID>79893611</CaseID>
        <CaseJudicialPersonPresentationDS>
          <CaseJudicalPersonActive>
            <CaseID>79893611</CaseID>
            <JudicialPersonID>056827116@GOV.IL</JudicialPersonID>
            <JudicialPersonTypeID>1</JudicialPersonTypeID>
            <JudicialTypeID>1</JudicialTypeID>
            <IsChairman>false</IsChairman>
            <TreatmentStartDate>2023-01-09T06:52:53.513+02:00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250262416</CasePartyID>
        <PartyTypeID>2</PartyTypeID>
        <ActivityStatusID>1</ActivityStatusID>
        <PartyAliasID>20</PartyAliasID>
        <PartyAliasName>בא כוח תובעים</PartyAliasName>
        <OrdinalNumber>2</OrdinalNumber>
        <LegalEntityID>409641</LegalEntityID>
        <CaseLegalEntityID>122669466</CaseLegalEntityID>
        <AuthenticationTypeID>4</AuthenticationTypeID>
        <AuthenticationTypeName>מ.ר.</AuthenticationTypeName>
        <LegalEntityNumber>37138</LegalEntityNumber>
        <IsMainPartyType>true</IsMainPartyType>
        <CaseDisplayIdentifier>18585-01-23</CaseDisplayIdentifier>
        <CaseTypeID>1</CaseTypeID>
        <CaseTypeName>תיק אזרחי בסדר דין רגיל (ת"א)</CaseTypeName>
        <CaseName>סנדרס נ' כהנא</CaseName>
        <FullAddress>שטרוך 13/5 תל אביב -יפו </FullAddress>
        <EmailAddress>hilalibarkal@gmail.com</EmailAddress>
        <MotionID>0</MotionID>
        <CasePleaID>0</CasePleaID>
        <LinkedCaseID>0</LinkedCaseID>
        <PartyID>1</PartyID>
        <CasePartyCategoryID>2</CasePartyCategoryID>
        <LegalEntityAddressID>86261700</LegalEntityAddressID>
        <LegalEntityEmailAddressID>68170865</LegalEntityEmailAddressID>
        <PleaTypeID>4</PleaTypeID>
        <LawyerOfficeName>משרד עו"ד: הילה יסקין</LawyerOfficeName>
        <LawyerOfficeID>450285</LawyerOfficeID>
        <GroupPartyAlias/>
        <IsConverted>false</IsConverted>
        <LegalEntityNameID>30625</LegalEntityNameID>
        <RepresentatedNamesOfAssistant/>
        <LegalEntityTypeID>4</LegalEntityTypeID>
        <IsVerdictExists>false</IsVerdictExists>
        <IsAsirAzir>false</IsAsirAzir>
        <IsPublicationProhibited>false</IsPublicationProhibited>
        <PublicationProhibitedFullName>הילה יסקין</PublicationProhibitedFullName>
      </CaseParties>
    </CasePartiesSelectionDS>
    <DecisionName>החלטה  שניתנה ע"י  יעל ייטב</DecisionName>
    <CourtDisplayName>בית המשפט המחוזי בבאר שבע</CourtDisplayName>
    <IsCaseJudgePanel>false</IsCaseJudgePanel>
    <DecisionSignatureDate>2023-12-25T09:14:47.743334+02:00</DecisionSignatureDate>
    <OpenCaseDate>2023-01-08T12:31:00+02:00</OpenCaseDate>
    <CaseFeeSum>0.000</CaseFeeSum>
    <DecisionTypeID>1</DecisionTypeID>
    <DecisionSignatureUserName>יעל ייטב</DecisionSignatureUserName>
    <DecisionSignatureDateHebrew>2023-12-25T09:14:47.743334+02:00</DecisionSignatureDateHebrew>
    <DecisionWriterID>056827116@GOV.IL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פלוני נ' כהנא</CaseName>
    <DecisionNumberInCase>9</DecisionNumberInCase>
  </dt_Decision>
  <dt_DecisionCase>
    <DecisionID>0</DecisionID>
    <CaseID>79893611</CaseID>
    <CaseJudicialPersonPresentationDS>
      <CaseJudicalPersonActive>
        <CaseID>79893611</CaseID>
        <JudicialPersonID>056827116@GOV.IL</JudicialPersonID>
        <JudicialPersonTypeID>1</JudicialPersonTypeID>
        <JudicialTypeID>1</JudicialTypeID>
        <IsChairman>false</IsChairman>
        <TreatmentStartDate>2023-01-09T06:52:53.513+02:00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רועי כהן</FullName>
        <FirstName>רועי</FirstName>
        <LastName>כהן</LastName>
        <PartyPropertyName/>
        <AuthenticationTypeAndNumber>מ.ר. 53858</AuthenticationTypeAndNumber>
        <RepresentatedOrRepresentativesNames>צבי הירש כהנא</RepresentatedOrRepresentativesNames>
        <RepresentatedOrRepresentativesCount>1</RepresentatedOrRepresentativesCount>
        <InvitedBy/>
        <CaseID>79893611</CaseID>
        <CaseJudicialPersonPresentationDS>
          <CaseJudicalPersonActive>
            <CaseID>79893611</CaseID>
            <JudicialPersonID>056827116@GOV.IL</JudicialPersonID>
            <JudicialPersonTypeID>1</JudicialPersonTypeID>
            <JudicialTypeID>1</JudicialTypeID>
            <IsChairman>false</IsChairman>
            <TreatmentStartDate>2023-01-09T06:52:53.513+02:00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259905892</CasePartyID>
        <PartyTypeID>2</PartyTypeID>
        <ActivityStatusID>1</ActivityStatusID>
        <PartyAliasID>21</PartyAliasID>
        <PartyAliasName>בא כוח נתבעים</PartyAliasName>
        <LegalEntityID>72144912</LegalEntityID>
        <CaseLegalEntityID>125727286</CaseLegalEntityID>
        <AuthenticationTypeID>4</AuthenticationTypeID>
        <AuthenticationTypeName>מ.ר.</AuthenticationTypeName>
        <LegalEntityNumber>53858</LegalEntityNumber>
        <IsMainPartyType>true</IsMainPartyType>
        <CaseDisplayIdentifier>18585-01-23</CaseDisplayIdentifier>
        <CaseTypeID>1</CaseTypeID>
        <CaseTypeName>תיק אזרחי בסדר דין רגיל (ת"א)</CaseTypeName>
        <CaseName>סנדרס נ' כהנא</CaseName>
        <FullAddress>המגילה 24 ראשון לציון </FullAddress>
        <EmailAddress>roicohen34@gmail.com</EmailAddress>
        <MotionID>0</MotionID>
        <CasePleaID>0</CasePleaID>
        <LinkedCaseID>0</LinkedCaseID>
        <PartyID>2</PartyID>
        <CasePartyCategoryID>2</CasePartyCategoryID>
        <LegalEntityAddressID>85790603</LegalEntityAddressID>
        <LegalEntityEmailAddressID>67936653</LegalEntityEmailAddressID>
        <PleaTypeID>4</PleaTypeID>
        <LawyerOfficeName>משרד עו"ד רועי כהן</LawyerOfficeName>
        <LawyerOfficeID>72144913</LawyerOfficeID>
        <GroupPartyAlias/>
        <IsConverted>false</IsConverted>
        <LegalEntityNameID>75852704</LegalEntityNameID>
        <RepresentatedNamesOfAssistant/>
        <LegalEntityTypeID>4</LegalEntityTypeID>
        <IsVerdictExists>false</IsVerdictExists>
        <IsAsirAzir>false</IsAsirAzir>
        <IsPublicationProhibited>false</IsPublicationProhibited>
        <PublicationProhibitedFullName>רועי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סהראב אעויסאת</FullName>
        <FirstName>סהראב</FirstName>
        <LastName>אעויסאת</LastName>
        <PartyPropertyName/>
        <AuthenticationTypeAndNumber>מ.ר. 36648</AuthenticationTypeAndNumber>
        <RepresentatedOrRepresentativesNames>צבי הירש כהנא</RepresentatedOrRepresentativesNames>
        <RepresentatedOrRepresentativesCount>1</RepresentatedOrRepresentativesCount>
        <InvitedBy/>
        <CaseID>79893611</CaseID>
        <CaseJudicialPersonPresentationDS>
          <CaseJudicalPersonActive>
            <CaseID>79893611</CaseID>
            <JudicialPersonID>056827116@GOV.IL</JudicialPersonID>
            <JudicialPersonTypeID>1</JudicialPersonTypeID>
            <JudicialTypeID>1</JudicialTypeID>
            <IsChairman>false</IsChairman>
            <TreatmentStartDate>2023-01-09T06:52:53.513+02:00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260311833</CasePartyID>
        <PartyTypeID>2</PartyTypeID>
        <ActivityStatusID>1</ActivityStatusID>
        <PartyAliasID>21</PartyAliasID>
        <PartyAliasName>בא כוח נתבעים</PartyAliasName>
        <LegalEntityID>408299</LegalEntityID>
        <CaseLegalEntityID>125861649</CaseLegalEntityID>
        <AuthenticationTypeID>4</AuthenticationTypeID>
        <AuthenticationTypeName>מ.ר.</AuthenticationTypeName>
        <LegalEntityNumber>36648</LegalEntityNumber>
        <IsMainPartyType>true</IsMainPartyType>
        <CaseDisplayIdentifier>18585-01-23</CaseDisplayIdentifier>
        <CaseTypeID>1</CaseTypeID>
        <CaseTypeName>תיק אזרחי בסדר דין רגיל (ת"א)</CaseTypeName>
        <CaseName>סנדרס נ' כהנא</CaseName>
        <FullAddress>נרייטה סולד 1 באר שבע קומה 3 ת.ד-10237</FullAddress>
        <EmailAddress>siharb@ashraf-law.co.il</EmailAddress>
        <MotionID>0</MotionID>
        <CasePleaID>0</CasePleaID>
        <LinkedCaseID>0</LinkedCaseID>
        <PartyID>2</PartyID>
        <CasePartyCategoryID>2</CasePartyCategoryID>
        <LegalEntityAddressID>82344280</LegalEntityAddressID>
        <LegalEntityEmailAddressID>68008106</LegalEntityEmailAddressID>
        <PleaTypeID>4</PleaTypeID>
        <LawyerOfficeName>משרד עו"ד: סהראב עויסאת שיח' יוסף</LawyerOfficeName>
        <LawyerOfficeID>448943</LawyerOfficeID>
        <GroupPartyAlias/>
        <IsConverted>false</IsConverted>
        <LegalEntityNameID>29283</LegalEntityNameID>
        <RepresentatedNamesOfAssistant/>
        <LegalEntityTypeID>4</LegalEntityTypeID>
        <IsVerdictExists>false</IsVerdictExists>
        <IsAsirAzir>false</IsAsirAzir>
        <IsPublicationProhibited>false</IsPublicationProhibited>
        <PublicationProhibitedFullName>סהראב אעויסאת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תומר ששון</FullName>
        <FirstName>תומר</FirstName>
        <LastName>ששון</LastName>
        <PartyPropertyName/>
        <AuthenticationTypeAndNumber>מ.ר. 56123</AuthenticationTypeAndNumber>
        <RepresentatedOrRepresentativesNames>צבי הירש כהנא</RepresentatedOrRepresentativesNames>
        <RepresentatedOrRepresentativesCount>1</RepresentatedOrRepresentativesCount>
        <InvitedBy/>
        <CaseID>79893611</CaseID>
        <CaseJudicialPersonPresentationDS>
          <CaseJudicalPersonActive>
            <CaseID>79893611</CaseID>
            <JudicialPersonID>056827116@GOV.IL</JudicialPersonID>
            <JudicialPersonTypeID>1</JudicialPersonTypeID>
            <JudicialTypeID>1</JudicialTypeID>
            <IsChairman>false</IsChairman>
            <TreatmentStartDate>2023-01-09T06:52:53.513+02:00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260726949</CasePartyID>
        <PartyTypeID>2</PartyTypeID>
        <ActivityStatusID>1</ActivityStatusID>
        <PartyAliasID>21</PartyAliasID>
        <PartyAliasName>בא כוח נתבעים</PartyAliasName>
        <LegalEntityID>71439402</LegalEntityID>
        <CaseLegalEntityID>125992724</CaseLegalEntityID>
        <AuthenticationTypeID>4</AuthenticationTypeID>
        <AuthenticationTypeName>מ.ר.</AuthenticationTypeName>
        <LegalEntityNumber>56123</LegalEntityNumber>
        <IsMainPartyType>true</IsMainPartyType>
        <CaseDisplayIdentifier>18585-01-23</CaseDisplayIdentifier>
        <CaseTypeID>1</CaseTypeID>
        <CaseTypeName>תיק אזרחי בסדר דין רגיל (ת"א)</CaseTypeName>
        <CaseName>סנדרס נ' כהנא</CaseName>
        <FullAddress>טרכטנברג 18 ראשון לציון ת.ד 68015</FullAddress>
        <EmailAddress>tomer3630@walla.com</EmailAddress>
        <MotionID>0</MotionID>
        <CasePleaID>0</CasePleaID>
        <LinkedCaseID>0</LinkedCaseID>
        <PartyID>2</PartyID>
        <CasePartyCategoryID>2</CasePartyCategoryID>
        <LegalEntityAddressID>73315244</LegalEntityAddressID>
        <LegalEntityEmailAddressID>68175872</LegalEntityEmailAddressID>
        <PleaTypeID>4</PleaTypeID>
        <LawyerOfficeName>משרד עו"ד תומר ששון</LawyerOfficeName>
        <LawyerOfficeID>71439403</LawyerOfficeID>
        <GroupPartyAlias/>
        <IsConverted>false</IsConverted>
        <LegalEntityNameID>74595991</LegalEntityNameID>
        <RepresentatedNamesOfAssistant/>
        <LegalEntityTypeID>4</LegalEntityTypeID>
        <IsVerdictExists>false</IsVerdictExists>
        <IsAsirAzir>false</IsAsirAzir>
        <IsPublicationProhibited>false</IsPublicationProhibited>
        <PublicationProhibitedFullName>תומר ששון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דוד סנדרס</FullName>
        <FirstName>דוד</FirstName>
        <LastName>סנדרס</LastName>
        <PartyPropertyName/>
        <AuthenticationTypeAndNumber>ת"ז 307846188</AuthenticationTypeAndNumber>
        <RepresentatedOrRepresentativesNames>הילה יסקין, שי יסקין</RepresentatedOrRepresentativesNames>
        <RepresentatedOrRepresentativesCount>2</RepresentatedOrRepresentativesCount>
        <InvitedBy/>
        <CaseID>79893611</CaseID>
        <CaseJudicialPersonPresentationDS>
          <CaseJudicalPersonActive>
            <CaseID>79893611</CaseID>
            <JudicialPersonID>056827116@GOV.IL</JudicialPersonID>
            <JudicialPersonTypeID>1</JudicialPersonTypeID>
            <JudicialTypeID>1</JudicialTypeID>
            <IsChairman>false</IsChairman>
            <TreatmentStartDate>2023-01-09T06:52:53.513+02:00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250262417</CasePartyID>
        <PartyTypeID>1</PartyTypeID>
        <ActivityStatusID>1</ActivityStatusID>
        <PartyAliasID>1</PartyAliasID>
        <PartyAliasName>תובע</PartyAliasName>
        <OrdinalNumber>1</OrdinalNumber>
        <LegalEntityID>74209703</LegalEntityID>
        <CaseLegalEntityID>122669467</CaseLegalEntityID>
        <AuthenticationTypeID>1</AuthenticationTypeID>
        <AuthenticationTypeName>ת"ז</AuthenticationTypeName>
        <LegalEntityNumber>307846188</LegalEntityNumber>
        <IsMainPartyType>true</IsMainPartyType>
        <CaseDisplayIdentifier>18585-01-23</CaseDisplayIdentifier>
        <CaseTypeID>1</CaseTypeID>
        <CaseTypeName>תיק אזרחי בסדר דין רגיל (ת"א)</CaseTypeName>
        <CaseName>סנדרס נ' כהנא</CaseName>
        <FullAddress>הציונות 45 אשדוד </FullAddress>
        <MotionID>0</MotionID>
        <CasePleaID>0</CasePleaID>
        <FatherName>מרדכי</FatherName>
        <LinkedCaseID>0</LinkedCaseID>
        <PartyID>1</PartyID>
        <CasePartyCategoryID>2</CasePartyCategoryID>
        <LegalEntityAddressID>87397689</LegalEntityAddressID>
        <PleaTypeID>4</PleaTypeID>
        <GroupPartyAlias>תובעים</GroupPartyAlias>
        <IsConverted>false</IsConverted>
        <LegalEntityRegisteredNameID>8974883</LegalEntityRegisteredNameID>
        <LegalEntityNameID>94219037</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 יסקין</FullName>
        <FirstName>שי</FirstName>
        <LastName>יסקין</LastName>
        <PartyPropertyName/>
        <AuthenticationTypeAndNumber>מ.ר. 79484</AuthenticationTypeAndNumber>
        <RepresentatedOrRepresentativesNames>דוד סנדרס</RepresentatedOrRepresentativesNames>
        <RepresentatedOrRepresentativesCount>1</RepresentatedOrRepresentativesCount>
        <InvitedBy/>
        <CaseID>79893611</CaseID>
        <CaseJudicialPersonPresentationDS>
          <CaseJudicalPersonActive>
            <CaseID>79893611</CaseID>
            <JudicialPersonID>056827116@GOV.IL</JudicialPersonID>
            <JudicialPersonTypeID>1</JudicialPersonTypeID>
            <JudicialTypeID>1</JudicialTypeID>
            <IsChairman>false</IsChairman>
            <TreatmentStartDate>2023-01-09T06:52:53.513+02:00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250262418</CasePartyID>
        <PartyTypeID>2</PartyTypeID>
        <ActivityStatusID>1</ActivityStatusID>
        <PartyAliasID>20</PartyAliasID>
        <PartyAliasName>בא כוח תובעים</PartyAliasName>
        <OrdinalNumber>1</OrdinalNumber>
        <LegalEntityID>76951873</LegalEntityID>
        <CaseLegalEntityID>122669468</CaseLegalEntityID>
        <AuthenticationTypeID>4</AuthenticationTypeID>
        <AuthenticationTypeName>מ.ר.</AuthenticationTypeName>
        <LegalEntityNumber>79484</LegalEntityNumber>
        <IsMainPartyType>true</IsMainPartyType>
        <CaseDisplayIdentifier>18585-01-23</CaseDisplayIdentifier>
        <CaseTypeID>1</CaseTypeID>
        <CaseTypeName>תיק אזרחי בסדר דין רגיל (ת"א)</CaseTypeName>
        <CaseName>סנדרס נ' כהנא</CaseName>
        <FullAddress>משה דיין 14 פתח תקווה </FullAddress>
        <EmailAddress>shai@yeskinco.com</EmailAddress>
        <MotionID>0</MotionID>
        <CasePleaID>0</CasePleaID>
        <LinkedCaseID>0</LinkedCaseID>
        <PartyID>1</PartyID>
        <CasePartyCategoryID>2</CasePartyCategoryID>
        <LegalEntityAddressID>84815203</LegalEntityAddressID>
        <LegalEntityEmailAddressID>68056670</LegalEntityEmailAddressID>
        <PleaTypeID>4</PleaTypeID>
        <LawyerOfficeName>משרד עו"ד שי יסקין</LawyerOfficeName>
        <LawyerOfficeID>76951874</LawyerOfficeID>
        <GroupPartyAlias/>
        <IsConverted>false</IsConverted>
        <LegalEntityNameID>85164198</LegalEntityNameID>
        <RepresentatedNamesOfAssistant/>
        <LegalEntityTypeID>4</LegalEntityTypeID>
        <IsVerdictExists>false</IsVerdictExists>
        <IsAsirAzir>false</IsAsirAzir>
        <IsPublicationProhibited>false</IsPublicationProhibited>
        <PublicationProhibitedFullName>שי יסקין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צבי הירש כהנא</FullName>
        <FirstName>צבי הירש</FirstName>
        <LastName>כהנה</LastName>
        <PartyPropertyName/>
        <AuthenticationTypeAndNumber>ת"ז 028076024</AuthenticationTypeAndNumber>
        <RepresentatedOrRepresentativesNames>סהראב אעויסאת, רועי כהן, תומר ששון</RepresentatedOrRepresentativesNames>
        <RepresentatedOrRepresentativesCount>3</RepresentatedOrRepresentativesCount>
        <InvitedBy/>
        <CaseID>79893611</CaseID>
        <CaseJudicialPersonPresentationDS>
          <CaseJudicalPersonActive>
            <CaseID>79893611</CaseID>
            <JudicialPersonID>056827116@GOV.IL</JudicialPersonID>
            <JudicialPersonTypeID>1</JudicialPersonTypeID>
            <JudicialTypeID>1</JudicialTypeID>
            <IsChairman>false</IsChairman>
            <TreatmentStartDate>2023-01-09T06:52:53.513+02:00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250262419</CasePartyID>
        <PartyTypeID>1</PartyTypeID>
        <ActivityStatusID>1</ActivityStatusID>
        <PartyAliasID>2</PartyAliasID>
        <PartyAliasName>נתבע</PartyAliasName>
        <OrdinalNumber>1</OrdinalNumber>
        <LegalEntityID>57992873</LegalEntityID>
        <CaseLegalEntityID>122669469</CaseLegalEntityID>
        <AuthenticationTypeID>1</AuthenticationTypeID>
        <AuthenticationTypeName>ת"ז</AuthenticationTypeName>
        <LegalEntityNumber>028076024</LegalEntityNumber>
        <IsMainPartyType>true</IsMainPartyType>
        <CaseDisplayIdentifier>18585-01-23</CaseDisplayIdentifier>
        <CaseTypeID>1</CaseTypeID>
        <CaseTypeName>תיק אזרחי בסדר דין רגיל (ת"א)</CaseTypeName>
        <CaseName>סנדרס נ' כהנא</CaseName>
        <FullAddress>הרב יוסף קארו 27/3 אשדוד </FullAddress>
        <MotionID>0</MotionID>
        <CasePleaID>0</CasePleaID>
        <FatherName>משה נחמן</FatherName>
        <LinkedCaseID>0</LinkedCaseID>
        <PartyID>2</PartyID>
        <CasePartyCategoryID>2</CasePartyCategoryID>
        <LegalEntityAddressID>88147462</LegalEntityAddressID>
        <GrandfatherName/>
        <DrivingLicenseNumber>7097598</DrivingLicenseNumber>
        <PleaTypeID>4</PleaTypeID>
        <GroupPartyAlias>נתבעים</GroupPartyAlias>
        <IsConverted>false</IsConverted>
        <LegalEntityRegisteredNameID>2498740</LegalEntityRegisteredNameID>
        <LegalEntityNameID>94219038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צבי הירש כהנא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הילה יסקין</FullName>
        <FirstName>הילה</FirstName>
        <LastName>יסקין</LastName>
        <PartyPropertyName/>
        <AuthenticationTypeAndNumber>מ.ר. 37138</AuthenticationTypeAndNumber>
        <RepresentatedOrRepresentativesNames>דוד סנדרס</RepresentatedOrRepresentativesNames>
        <RepresentatedOrRepresentativesCount>1</RepresentatedOrRepresentativesCount>
        <InvitedBy/>
        <CaseID>79893611</CaseID>
        <CaseJudicialPersonPresentationDS>
          <CaseJudicalPersonActive>
            <CaseID>79893611</CaseID>
            <JudicialPersonID>056827116@GOV.IL</JudicialPersonID>
            <JudicialPersonTypeID>1</JudicialPersonTypeID>
            <JudicialTypeID>1</JudicialTypeID>
            <IsChairman>false</IsChairman>
            <TreatmentStartDate>2023-01-09T06:52:53.513+02:00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250262416</CasePartyID>
        <PartyTypeID>2</PartyTypeID>
        <ActivityStatusID>1</ActivityStatusID>
        <PartyAliasID>20</PartyAliasID>
        <PartyAliasName>בא כוח תובעים</PartyAliasName>
        <OrdinalNumber>2</OrdinalNumber>
        <LegalEntityID>409641</LegalEntityID>
        <CaseLegalEntityID>122669466</CaseLegalEntityID>
        <AuthenticationTypeID>4</AuthenticationTypeID>
        <AuthenticationTypeName>מ.ר.</AuthenticationTypeName>
        <LegalEntityNumber>37138</LegalEntityNumber>
        <IsMainPartyType>true</IsMainPartyType>
        <CaseDisplayIdentifier>18585-01-23</CaseDisplayIdentifier>
        <CaseTypeID>1</CaseTypeID>
        <CaseTypeName>תיק אזרחי בסדר דין רגיל (ת"א)</CaseTypeName>
        <CaseName>סנדרס נ' כהנא</CaseName>
        <FullAddress>שטרוך 13/5 תל אביב -יפו </FullAddress>
        <EmailAddress>hilalibarkal@gmail.com</EmailAddress>
        <MotionID>0</MotionID>
        <CasePleaID>0</CasePleaID>
        <LinkedCaseID>0</LinkedCaseID>
        <PartyID>1</PartyID>
        <CasePartyCategoryID>2</CasePartyCategoryID>
        <LegalEntityAddressID>86261700</LegalEntityAddressID>
        <LegalEntityEmailAddressID>68170865</LegalEntityEmailAddressID>
        <PleaTypeID>4</PleaTypeID>
        <LawyerOfficeName>משרד עו"ד: הילה יסקין</LawyerOfficeName>
        <LawyerOfficeID>450285</LawyerOfficeID>
        <GroupPartyAlias/>
        <IsConverted>false</IsConverted>
        <LegalEntityNameID>30625</LegalEntityNameID>
        <RepresentatedNamesOfAssistant/>
        <LegalEntityTypeID>4</LegalEntityTypeID>
        <IsVerdictExists>false</IsVerdictExists>
        <IsAsirAzir>false</IsAsirAzir>
        <IsPublicationProhibited>false</IsPublicationProhibited>
        <PublicationProhibitedFullName>הילה יסקין</PublicationProhibitedFullName>
      </CaseParties>
    </CasePartiesSelectionDS>
    <CaseName>סנדרס נ' כהנא</CaseName>
    <CaseDisplayIdentifier>18585-01-23</CaseDisplayIdentifier>
    <CaseInterestID>10446</CaseInterestID>
    <CaseTypeShortName>ת"א</CaseTypeShortName>
  </dt_DecisionCase>
  <dt_DecisionJudgePanel>
    <JudgeID>056827116@GOV.IL</JudgeID>
    <DisplayName>יעל ייטב</DisplayName>
    <RoleName>שופט</RoleName>
    <UserTitleName>שופטת</UserTitleName>
  </dt_DecisionJudgePanel>
  <dt_LegalEntityDetails>
    <Fax>03-7577520</Fax>
    <AddressDesc/>
    <PartyID>2</PartyID>
    <PartyTypeID>2</PartyTypeID>
    <DecisionID>0</DecisionID>
    <StreetName>המגילה 24</StreetName>
    <ZipCode>7570896</ZipCode>
    <CityName>ראשון לציון</CityName>
    <FullName>רועי כהן</FullName>
    <Email>roicohen34@gmail.com</Email>
    <IsPublicationProhibited>false</IsPublicationProhibited>
  </dt_LegalEntityDetails>
  <dt_LegalEntityDetails>
    <Fax>08-6237292</Fax>
    <Phone>08-6237288</Phone>
    <AddressDesc>קומה 3 ת.ד-10237 </AddressDesc>
    <PartyID>2</PartyID>
    <PartyTypeID>2</PartyTypeID>
    <DecisionID>0</DecisionID>
    <StreetName>נרייטה סולד 1</StreetName>
    <ZipCode>8489428</ZipCode>
    <CityName>באר שבע</CityName>
    <FullName>סהראב אעויסאת</FullName>
    <Email>siharb@ashraf-law.co.il</Email>
    <IsPublicationProhibited>false</IsPublicationProhibited>
  </dt_LegalEntityDetails>
  <dt_LegalEntityDetails>
    <Fax>077-4704614</Fax>
    <AddressDesc>ת.ד 68015</AddressDesc>
    <PartyID>2</PartyID>
    <PartyTypeID>2</PartyTypeID>
    <DecisionID>0</DecisionID>
    <StreetName>טרכטנברג 18</StreetName>
    <ZipCode>75283</ZipCode>
    <CityName>ראשון לציון</CityName>
    <FullName>תומר ששון</FullName>
    <Email>tomer3630@walla.com</Email>
    <IsPublicationProhibited>false</IsPublicationProhibited>
  </dt_LegalEntityDetails>
  <dt_LegalEntityDetails>
    <PartyID>1</PartyID>
    <PartyTypeID>1</PartyTypeID>
    <DecisionID>0</DecisionID>
    <StreetName>הציונות 45</StreetName>
    <CityName>אשדוד</CityName>
    <FullName>דוד סנדרס</FullName>
    <IsPublicationProhibited>true</IsPublicationProhibited>
  </dt_LegalEntityDetails>
  <dt_LegalEntityDetails>
    <Fax>03-5161485</Fax>
    <Phone>03-5340111</Phone>
    <AddressDesc/>
    <PartyID>1</PartyID>
    <PartyTypeID>2</PartyTypeID>
    <DecisionID>0</DecisionID>
    <StreetName>משה דיין 14</StreetName>
    <ZipCode>4934829</ZipCode>
    <CityName>פתח תקווה</CityName>
    <FullName>שי יסקין</FullName>
    <Email>shai@yeskinco.com</Email>
    <IsPublicationProhibited>false</IsPublicationProhibited>
  </dt_LegalEntityDetails>
  <dt_LegalEntityDetails>
    <PartyID>2</PartyID>
    <PartyTypeID>1</PartyTypeID>
    <DecisionID>0</DecisionID>
    <StreetName>הרב יוסף קארו 27/3</StreetName>
    <CityName>אשדוד</CityName>
    <FullName>צבי הירש כהנא</FullName>
    <IsPublicationProhibited>false</IsPublicationProhibited>
  </dt_LegalEntityDetails>
  <dt_LegalEntityDetails>
    <Fax>077-3181349</Fax>
    <Phone>054-4827823</Phone>
    <PartyID>1</PartyID>
    <PartyTypeID>2</PartyTypeID>
    <DecisionID>0</DecisionID>
    <StreetName>שטרוך 13/5</StreetName>
    <CityName>תל אביב -יפו</CityName>
    <FullName>הילה יסקין</FullName>
    <Email>hilalibarkal@gmail.com</Email>
    <IsPublicationProhibited>false</IsPublicationProhibited>
  </dt_LegalEntityDetails>
  <dt_CaseJudicalPersonActive>
    <CaseJudicalPerson>שופטת יעל ייטב</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C3460-3F89-4F3D-AD6D-D298F24CD8F9}">
  <ds:schemaRefs/>
</ds:datastoreItem>
</file>

<file path=customXml/itemProps2.xml><?xml version="1.0" encoding="utf-8"?>
<ds:datastoreItem xmlns:ds="http://schemas.openxmlformats.org/officeDocument/2006/customXml" ds:itemID="{EE8AD263-2418-4400-81C1-2D989429E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3093</Words>
  <Characters>15467</Characters>
  <Application>Microsoft Office Word</Application>
  <DocSecurity>0</DocSecurity>
  <Lines>128</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2023-12-25T08:48:00Z</dcterms:created>
  <dcterms:modified xsi:type="dcterms:W3CDTF">2023-12-25T08:48:00Z</dcterms:modified>
</cp:coreProperties>
</file>